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4558F" w14:textId="77777777"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</w:p>
    <w:p w14:paraId="63633C7E" w14:textId="100E2E52" w:rsidR="004241AC" w:rsidRDefault="000F7B7D" w:rsidP="004241AC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EA22D3D" wp14:editId="7E0E9244">
            <wp:extent cx="2529840" cy="939165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149D0A" w14:textId="77777777" w:rsidR="008172E2" w:rsidRDefault="008172E2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3ED97EB8" w14:textId="77777777" w:rsidR="00823F4C" w:rsidRPr="00A17BFA" w:rsidRDefault="00823F4C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17BFA">
        <w:rPr>
          <w:rFonts w:cstheme="minorHAnsi"/>
          <w:b/>
          <w:sz w:val="24"/>
          <w:szCs w:val="24"/>
        </w:rPr>
        <w:t>Relazione Pubblica di Valutazione</w:t>
      </w:r>
    </w:p>
    <w:p w14:paraId="38DF3CE0" w14:textId="77777777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672F23A8" w14:textId="77777777" w:rsidR="00823F4C" w:rsidRPr="00A17BFA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1677CC69" w14:textId="77777777" w:rsidR="004609F8" w:rsidRPr="00A17BFA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66C72E23" w14:textId="0F637746" w:rsidR="003C74F9" w:rsidRDefault="00EC116F" w:rsidP="004241AC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17BFA">
        <w:rPr>
          <w:rFonts w:cstheme="minorHAnsi"/>
          <w:b/>
          <w:sz w:val="24"/>
          <w:szCs w:val="24"/>
        </w:rPr>
        <w:t>DOLZAN</w:t>
      </w:r>
      <w:r w:rsidR="002B5AC2" w:rsidRPr="00A17BFA">
        <w:rPr>
          <w:rFonts w:cstheme="minorHAnsi"/>
          <w:b/>
          <w:sz w:val="24"/>
          <w:szCs w:val="24"/>
        </w:rPr>
        <w:t xml:space="preserve"> </w:t>
      </w:r>
    </w:p>
    <w:p w14:paraId="75E369F4" w14:textId="77777777" w:rsidR="000F7B7D" w:rsidRPr="00A17BFA" w:rsidRDefault="000F7B7D" w:rsidP="004241AC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6C382C0" w14:textId="34BB24B0" w:rsidR="004241AC" w:rsidRPr="00A17BFA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17BFA">
        <w:rPr>
          <w:rFonts w:cstheme="minorHAnsi"/>
          <w:snapToGrid w:val="0"/>
          <w:sz w:val="24"/>
          <w:szCs w:val="24"/>
        </w:rPr>
        <w:t>(</w:t>
      </w:r>
      <w:r w:rsidR="003E55BC" w:rsidRPr="00A17BFA">
        <w:rPr>
          <w:rFonts w:cstheme="minorHAnsi"/>
          <w:snapToGrid w:val="0"/>
          <w:sz w:val="24"/>
          <w:szCs w:val="24"/>
        </w:rPr>
        <w:t>ibuprofene</w:t>
      </w:r>
      <w:r w:rsidR="00780D3D" w:rsidRPr="00A17BFA">
        <w:rPr>
          <w:rFonts w:cstheme="minorHAnsi"/>
          <w:snapToGrid w:val="0"/>
          <w:sz w:val="24"/>
          <w:szCs w:val="24"/>
        </w:rPr>
        <w:t>,</w:t>
      </w:r>
      <w:r w:rsidR="00780D3D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compresse rivestite con film</w:t>
      </w:r>
      <w:r w:rsidR="0005439C" w:rsidRPr="00A17BFA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780D3D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400 mg</w:t>
      </w:r>
      <w:r w:rsidRPr="00A17BFA">
        <w:rPr>
          <w:rFonts w:cstheme="minorHAnsi"/>
          <w:snapToGrid w:val="0"/>
          <w:sz w:val="24"/>
          <w:szCs w:val="24"/>
        </w:rPr>
        <w:t>)</w:t>
      </w:r>
    </w:p>
    <w:p w14:paraId="457BF04B" w14:textId="77777777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EBE407E" w14:textId="77777777" w:rsidR="004609F8" w:rsidRPr="00A17BFA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3BCF40C" w14:textId="33DFA955" w:rsidR="00EC3589" w:rsidRPr="00A17BFA" w:rsidRDefault="002B5AC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17BFA">
        <w:rPr>
          <w:rFonts w:cstheme="minorHAnsi"/>
          <w:b/>
          <w:sz w:val="24"/>
          <w:szCs w:val="24"/>
        </w:rPr>
        <w:t>Laboratori Alter s.r.l.</w:t>
      </w:r>
    </w:p>
    <w:p w14:paraId="22EB34C5" w14:textId="4A6371DC" w:rsidR="004609F8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413DF82" w14:textId="77777777" w:rsidR="000F7B7D" w:rsidRPr="00A17BFA" w:rsidRDefault="000F7B7D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EBC2931" w14:textId="41C9465B" w:rsidR="004241AC" w:rsidRPr="00A17BFA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17BFA">
        <w:rPr>
          <w:rFonts w:cstheme="minorHAnsi"/>
          <w:b/>
          <w:sz w:val="24"/>
          <w:szCs w:val="24"/>
        </w:rPr>
        <w:t xml:space="preserve">Numero di AIC: </w:t>
      </w:r>
      <w:r w:rsidR="00EC116F" w:rsidRPr="00A17BFA">
        <w:rPr>
          <w:rFonts w:cstheme="minorHAnsi"/>
          <w:b/>
          <w:sz w:val="24"/>
          <w:szCs w:val="24"/>
        </w:rPr>
        <w:t>051308</w:t>
      </w:r>
      <w:r w:rsidR="00EC116F" w:rsidRPr="00A17BFA" w:rsidDel="00EC116F">
        <w:rPr>
          <w:rFonts w:cstheme="minorHAnsi"/>
          <w:b/>
          <w:sz w:val="24"/>
          <w:szCs w:val="24"/>
        </w:rPr>
        <w:t xml:space="preserve"> </w:t>
      </w:r>
      <w:bookmarkEnd w:id="0"/>
    </w:p>
    <w:p w14:paraId="3384EC9B" w14:textId="69726F37" w:rsidR="004E5A39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6218DE2" w14:textId="304D0F70" w:rsidR="000F7B7D" w:rsidRDefault="000F7B7D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560A97" w14:textId="77777777" w:rsidR="000F7B7D" w:rsidRPr="00A17BFA" w:rsidRDefault="000F7B7D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D75CBCE" w14:textId="77777777" w:rsidR="004E5A39" w:rsidRPr="00A17BFA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7B185AF9" w14:textId="77777777" w:rsidR="004E5A39" w:rsidRPr="00A17BFA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0670B0C" w14:textId="3A3FE6A9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17BFA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17BFA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17BFA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425C4E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). In esso viene spiegato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come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è stato valutato dalla Commissione Tecnico-Scientifica (CTS) e le sue condizioni di impiego. Non intende fornire consigli pratici su come utilizzare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425C4E" w:rsidRPr="00A17BFA">
        <w:rPr>
          <w:rFonts w:cstheme="minorHAnsi"/>
          <w:sz w:val="24"/>
          <w:szCs w:val="24"/>
        </w:rPr>
        <w:t xml:space="preserve"> </w:t>
      </w:r>
      <w:r w:rsidR="00425C4E"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>è stato valutato dall’AIFA e quali sono le sue condizioni di impiego. Il documento non intende fornire consigli pratici su come utilizzare DOLZAN.</w:t>
      </w:r>
    </w:p>
    <w:p w14:paraId="3C1FD0A8" w14:textId="4080C726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B949C44" w14:textId="35DF9096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CBA97E4" w14:textId="77777777" w:rsidR="000F7B7D" w:rsidRPr="00A17BFA" w:rsidRDefault="000F7B7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0106D18" w14:textId="1454E9AE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COS’È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0DF6A633" w14:textId="72D0E8C2" w:rsidR="00797416" w:rsidRPr="00A17BFA" w:rsidRDefault="00EC116F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è un medicinale contenente il principio attivo </w:t>
      </w:r>
      <w:r w:rsidR="00742CC0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ibuprofene 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17BFA">
        <w:rPr>
          <w:rFonts w:eastAsia="Calibri" w:cstheme="minorHAnsi"/>
          <w:color w:val="000000"/>
          <w:sz w:val="24"/>
          <w:szCs w:val="24"/>
          <w:lang w:eastAsia="it-IT"/>
        </w:rPr>
        <w:t>è disponibile come</w:t>
      </w:r>
      <w:r w:rsidR="00425C4E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97416" w:rsidRPr="00A17BFA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210C2D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 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>contenent</w:t>
      </w:r>
      <w:r w:rsidR="00797416" w:rsidRPr="00A17BFA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10C2D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400 </w:t>
      </w:r>
      <w:r w:rsidR="00797416" w:rsidRPr="00A17BFA">
        <w:rPr>
          <w:rFonts w:eastAsia="Calibri" w:cstheme="minorHAnsi"/>
          <w:color w:val="000000"/>
          <w:sz w:val="24"/>
          <w:szCs w:val="24"/>
          <w:lang w:eastAsia="it-IT"/>
        </w:rPr>
        <w:t>mg di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425C4E" w:rsidRPr="00A17BFA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4A52A09C" w14:textId="77777777" w:rsidR="00210C2D" w:rsidRPr="00A17BFA" w:rsidRDefault="00210C2D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EE85AD9" w14:textId="4BF84472" w:rsidR="00797416" w:rsidRPr="00A17BFA" w:rsidRDefault="00EC116F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="00210C2D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BRUFEN </w:t>
      </w:r>
      <w:r w:rsidR="00FF7AD3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in Italia da almeno 8 anni.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FF7AD3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può essere immesso in commercio solo dopo che sono trascorsi 10 anni dall'autorizzazione iniziale del medicinale di riferimento. </w:t>
      </w:r>
      <w:r w:rsidR="00300BEA" w:rsidRPr="00A17BFA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hyperlink r:id="rId9" w:history="1">
        <w:hyperlink r:id="rId10" w:anchor="/it/" w:history="1">
          <w:r w:rsidR="00425C4E" w:rsidRPr="00A17BFA">
            <w:rPr>
              <w:rStyle w:val="Collegamentoipertestuale"/>
              <w:rFonts w:eastAsia="Calibri" w:cstheme="minorHAnsi"/>
              <w:sz w:val="24"/>
              <w:szCs w:val="24"/>
              <w:lang w:eastAsia="it-IT"/>
            </w:rPr>
            <w:t>https://medicinali.aifa.gov.it/it/#/it/</w:t>
          </w:r>
        </w:hyperlink>
        <w:r w:rsidR="00425C4E" w:rsidRPr="00A17BFA">
          <w:rPr>
            <w:rFonts w:eastAsia="Calibri" w:cstheme="minorHAnsi"/>
            <w:color w:val="000000"/>
            <w:sz w:val="24"/>
            <w:szCs w:val="24"/>
            <w:lang w:eastAsia="it-IT"/>
          </w:rPr>
          <w:t xml:space="preserve"> </w:t>
        </w:r>
      </w:hyperlink>
      <w:r w:rsidR="00300BEA" w:rsidRPr="00A17BFA">
        <w:rPr>
          <w:rFonts w:eastAsia="Calibri" w:cstheme="minorHAnsi"/>
          <w:sz w:val="24"/>
          <w:szCs w:val="24"/>
          <w:lang w:eastAsia="it-IT"/>
        </w:rPr>
        <w:t>)</w:t>
      </w:r>
      <w:r w:rsidR="00300BEA" w:rsidRPr="00A17BFA">
        <w:rPr>
          <w:rFonts w:cstheme="minorHAnsi"/>
          <w:sz w:val="24"/>
          <w:szCs w:val="24"/>
        </w:rPr>
        <w:t xml:space="preserve"> </w:t>
      </w:r>
      <w:r w:rsidR="00300BEA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="00A47CC5" w:rsidRPr="00A17BFA">
        <w:rPr>
          <w:rFonts w:eastAsia="Calibri" w:cstheme="minorHAnsi"/>
          <w:color w:val="000000"/>
          <w:sz w:val="24"/>
          <w:szCs w:val="24"/>
          <w:lang w:eastAsia="it-IT"/>
        </w:rPr>
        <w:t>BRUFEN</w:t>
      </w:r>
      <w:r w:rsidR="00300BEA" w:rsidRPr="00A17BFA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F0D738C" w14:textId="77777777" w:rsidR="00396280" w:rsidRPr="00A17BFA" w:rsidRDefault="00396280" w:rsidP="00396280">
      <w:pPr>
        <w:tabs>
          <w:tab w:val="left" w:pos="567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ADBD88D" w14:textId="0CEA9972" w:rsidR="00396280" w:rsidRPr="00A17BFA" w:rsidRDefault="00EC116F" w:rsidP="00396280">
      <w:pPr>
        <w:tabs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1219D2" w:rsidRPr="00A17BFA">
        <w:rPr>
          <w:rFonts w:eastAsia="Calibri" w:cstheme="minorHAnsi"/>
          <w:sz w:val="24"/>
          <w:szCs w:val="24"/>
          <w:lang w:eastAsia="it-IT"/>
        </w:rPr>
        <w:t>è utilizzato</w:t>
      </w:r>
      <w:r w:rsidR="00BC5636" w:rsidRPr="00A17BFA">
        <w:rPr>
          <w:rFonts w:cstheme="minorHAnsi"/>
          <w:sz w:val="24"/>
          <w:szCs w:val="24"/>
        </w:rPr>
        <w:t xml:space="preserve"> </w:t>
      </w:r>
      <w:r w:rsidR="001219D2" w:rsidRPr="00A17BFA">
        <w:rPr>
          <w:rFonts w:cstheme="minorHAnsi"/>
          <w:sz w:val="24"/>
          <w:szCs w:val="24"/>
        </w:rPr>
        <w:t>per</w:t>
      </w:r>
      <w:r w:rsidR="00396280" w:rsidRPr="00A17BFA">
        <w:rPr>
          <w:rFonts w:cstheme="minorHAnsi"/>
          <w:sz w:val="24"/>
          <w:szCs w:val="24"/>
        </w:rPr>
        <w:t>:</w:t>
      </w:r>
    </w:p>
    <w:p w14:paraId="4E0C1791" w14:textId="5FF7A759" w:rsidR="00425C4E" w:rsidRPr="00A17BFA" w:rsidRDefault="001219D2" w:rsidP="00425C4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A17BFA">
        <w:rPr>
          <w:rFonts w:cstheme="minorHAnsi"/>
          <w:sz w:val="24"/>
          <w:szCs w:val="24"/>
        </w:rPr>
        <w:t xml:space="preserve"> </w:t>
      </w:r>
      <w:r w:rsidR="00425C4E" w:rsidRPr="00A17BFA">
        <w:rPr>
          <w:rFonts w:cstheme="minorHAnsi"/>
          <w:sz w:val="24"/>
          <w:szCs w:val="24"/>
          <w:bdr w:val="nil"/>
        </w:rPr>
        <w:t>trattamento sintomatico del dolore da lieve a moderato e/o della febbre</w:t>
      </w:r>
    </w:p>
    <w:p w14:paraId="40F0FDE7" w14:textId="77777777" w:rsidR="00425C4E" w:rsidRPr="00A17BFA" w:rsidRDefault="00425C4E" w:rsidP="00425C4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A17BFA">
        <w:rPr>
          <w:rFonts w:cstheme="minorHAnsi"/>
          <w:sz w:val="24"/>
          <w:szCs w:val="24"/>
          <w:bdr w:val="nil"/>
        </w:rPr>
        <w:t>trattamento sintomatico del dolore e infiammazione nelle malattie artritiche (ad es. artrite reumatoide), condizioni artritiche degenerative (ad es. osteoartrite) e nel gonfiore doloroso e infiammazione in seguito a lesioni del tessuto molle.</w:t>
      </w:r>
    </w:p>
    <w:p w14:paraId="6E42D1A2" w14:textId="77777777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14711B2E" w14:textId="77777777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522C79C5" w14:textId="44094240" w:rsidR="00BB2AF8" w:rsidRPr="00A17BFA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0F484E0A" w14:textId="323F7C66" w:rsidR="001219D2" w:rsidRPr="00A17BFA" w:rsidRDefault="00EC116F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A17BFA">
        <w:rPr>
          <w:rFonts w:asciiTheme="minorHAnsi" w:eastAsia="Calibri" w:hAnsiTheme="minorHAnsi" w:cstheme="minorHAnsi"/>
          <w:color w:val="000000"/>
          <w:sz w:val="24"/>
          <w:szCs w:val="24"/>
        </w:rPr>
        <w:t>DOLZAN</w:t>
      </w:r>
      <w:r w:rsidR="002B5AC2" w:rsidRPr="00A17BF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17BF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17BFA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</w:t>
      </w:r>
      <w:r w:rsidR="001219D2" w:rsidRPr="00A17BFA">
        <w:rPr>
          <w:rFonts w:asciiTheme="minorHAnsi" w:eastAsia="Calibri" w:hAnsiTheme="minorHAnsi" w:cstheme="minorHAnsi"/>
          <w:color w:val="000000"/>
          <w:sz w:val="24"/>
          <w:szCs w:val="24"/>
        </w:rPr>
        <w:t>).</w:t>
      </w:r>
    </w:p>
    <w:p w14:paraId="63E69672" w14:textId="77777777" w:rsidR="001C15DF" w:rsidRPr="00A17BFA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3705E3" w14:textId="6216801F" w:rsidR="00425C4E" w:rsidRPr="00A17BFA" w:rsidRDefault="00BB2AF8" w:rsidP="00425C4E">
      <w:pPr>
        <w:tabs>
          <w:tab w:val="left" w:pos="567"/>
        </w:tabs>
        <w:snapToGrid w:val="0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</w:rPr>
        <w:t xml:space="preserve">La dose </w:t>
      </w:r>
      <w:r w:rsidR="00425C4E" w:rsidRPr="00A17BFA">
        <w:rPr>
          <w:rFonts w:cstheme="minorHAnsi"/>
          <w:sz w:val="24"/>
          <w:szCs w:val="24"/>
        </w:rPr>
        <w:t xml:space="preserve">iniziale </w:t>
      </w:r>
      <w:r w:rsidR="00396280" w:rsidRPr="00A17BFA">
        <w:rPr>
          <w:rFonts w:cstheme="minorHAnsi"/>
          <w:sz w:val="24"/>
          <w:szCs w:val="24"/>
        </w:rPr>
        <w:t xml:space="preserve">per il trattamento del dolore e/o della febbre, </w:t>
      </w:r>
      <w:r w:rsidR="00425C4E" w:rsidRPr="00A17BFA">
        <w:rPr>
          <w:rFonts w:cstheme="minorHAnsi"/>
          <w:sz w:val="24"/>
          <w:szCs w:val="24"/>
        </w:rPr>
        <w:t>negli adulti e negli adolescenti a partire dai 12 anni di età</w:t>
      </w:r>
      <w:r w:rsidR="00425C4E" w:rsidRPr="00A17BFA">
        <w:rPr>
          <w:rFonts w:cstheme="minorHAnsi"/>
          <w:sz w:val="24"/>
          <w:szCs w:val="24"/>
        </w:rPr>
        <w:t xml:space="preserve"> </w:t>
      </w:r>
      <w:r w:rsidR="00425C4E" w:rsidRPr="00A17BFA">
        <w:rPr>
          <w:rFonts w:cstheme="minorHAnsi"/>
          <w:sz w:val="24"/>
          <w:szCs w:val="24"/>
          <w:bdr w:val="nil"/>
        </w:rPr>
        <w:t>(≥ 40 kg di peso corporeo)</w:t>
      </w:r>
      <w:r w:rsidR="00396280" w:rsidRPr="00A17BFA">
        <w:rPr>
          <w:rFonts w:cstheme="minorHAnsi"/>
          <w:sz w:val="24"/>
          <w:szCs w:val="24"/>
          <w:bdr w:val="nil"/>
        </w:rPr>
        <w:t>,</w:t>
      </w:r>
      <w:r w:rsidR="00425C4E" w:rsidRPr="00A17BFA">
        <w:rPr>
          <w:rFonts w:cstheme="minorHAnsi"/>
          <w:sz w:val="24"/>
          <w:szCs w:val="24"/>
          <w:bdr w:val="nil"/>
        </w:rPr>
        <w:t xml:space="preserve"> deve essere 400 mg di ibuprofene. Se necessario, possono essere assunte dosi aggiuntive di ibuprofene 400 mg. Il rispettivo intervallo di dosaggio deve essere scelto in base ai sintomi osservati e alla dose massima giornaliera raccomandata. Non deve essere inferiore a 6 ore. Non deve essere superata una dose totale di 1200 mg di ibuprofene in un periodo di 24 ore.</w:t>
      </w:r>
    </w:p>
    <w:p w14:paraId="2CFAE9EE" w14:textId="1A71E7B2" w:rsidR="00396280" w:rsidRPr="00A17BFA" w:rsidRDefault="00396280" w:rsidP="00396280">
      <w:pPr>
        <w:tabs>
          <w:tab w:val="left" w:pos="567"/>
        </w:tabs>
        <w:snapToGrid w:val="0"/>
        <w:spacing w:after="0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>La dose raccomandata</w:t>
      </w:r>
      <w:r w:rsidRPr="00A17BFA">
        <w:rPr>
          <w:rFonts w:cstheme="minorHAnsi"/>
          <w:sz w:val="24"/>
          <w:szCs w:val="24"/>
          <w:bdr w:val="nil"/>
        </w:rPr>
        <w:t xml:space="preserve"> </w:t>
      </w:r>
      <w:r w:rsidRPr="00A17BFA">
        <w:rPr>
          <w:rFonts w:cstheme="minorHAnsi"/>
          <w:sz w:val="24"/>
          <w:szCs w:val="24"/>
        </w:rPr>
        <w:t>per il trattamento del</w:t>
      </w:r>
      <w:r w:rsidRPr="00A17BFA">
        <w:rPr>
          <w:rFonts w:cstheme="minorHAnsi"/>
          <w:sz w:val="24"/>
          <w:szCs w:val="24"/>
        </w:rPr>
        <w:t>le malattie reumatiche negli adulti è</w:t>
      </w:r>
      <w:r w:rsidRPr="00A17BFA">
        <w:rPr>
          <w:rFonts w:cstheme="minorHAnsi"/>
          <w:sz w:val="24"/>
          <w:szCs w:val="24"/>
          <w:bdr w:val="nil"/>
        </w:rPr>
        <w:t xml:space="preserve"> </w:t>
      </w:r>
      <w:r w:rsidRPr="00A17BFA">
        <w:rPr>
          <w:rFonts w:cstheme="minorHAnsi"/>
          <w:sz w:val="24"/>
          <w:szCs w:val="24"/>
          <w:bdr w:val="nil"/>
        </w:rPr>
        <w:t>1200 - 1800 mg al giorno in dosi divise</w:t>
      </w:r>
      <w:r w:rsidRPr="00A17BFA">
        <w:rPr>
          <w:rFonts w:cstheme="minorHAnsi"/>
          <w:sz w:val="24"/>
          <w:szCs w:val="24"/>
          <w:bdr w:val="nil"/>
        </w:rPr>
        <w:t xml:space="preserve">. </w:t>
      </w:r>
      <w:r w:rsidRPr="00A17BFA">
        <w:rPr>
          <w:rFonts w:cstheme="minorHAnsi"/>
          <w:sz w:val="24"/>
          <w:szCs w:val="24"/>
          <w:bdr w:val="nil"/>
        </w:rPr>
        <w:t>In condizioni acute o gravi, può essere utile aumentare la dose fino a quando la fase acuta sia tenuta sotto controllo, a patto che la dose totale giornaliera non superi 2400 mg in dosi separate</w:t>
      </w:r>
      <w:r w:rsidRPr="00A17BFA">
        <w:rPr>
          <w:rFonts w:cstheme="minorHAnsi"/>
          <w:sz w:val="24"/>
          <w:szCs w:val="24"/>
          <w:bdr w:val="nil"/>
        </w:rPr>
        <w:t>.</w:t>
      </w:r>
    </w:p>
    <w:p w14:paraId="68FC5103" w14:textId="54F35E9D" w:rsidR="00396280" w:rsidRPr="00A17BFA" w:rsidRDefault="00396280" w:rsidP="00396280">
      <w:pPr>
        <w:tabs>
          <w:tab w:val="left" w:pos="567"/>
        </w:tabs>
        <w:spacing w:after="0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 xml:space="preserve">La dose raccomandata </w:t>
      </w:r>
      <w:r w:rsidRPr="00A17BFA">
        <w:rPr>
          <w:rFonts w:cstheme="minorHAnsi"/>
          <w:sz w:val="24"/>
          <w:szCs w:val="24"/>
        </w:rPr>
        <w:t>per il trattamento delle malattie reumatiche negli</w:t>
      </w:r>
      <w:r w:rsidRPr="00A17BFA">
        <w:rPr>
          <w:rFonts w:cstheme="minorHAnsi"/>
          <w:sz w:val="24"/>
          <w:szCs w:val="24"/>
        </w:rPr>
        <w:t xml:space="preserve"> adolescenti</w:t>
      </w:r>
      <w:r w:rsidRPr="00A17BFA">
        <w:rPr>
          <w:rFonts w:cstheme="minorHAnsi"/>
          <w:sz w:val="24"/>
          <w:szCs w:val="24"/>
          <w:bdr w:val="nil"/>
        </w:rPr>
        <w:t xml:space="preserve"> </w:t>
      </w:r>
      <w:r w:rsidRPr="00A17BFA">
        <w:rPr>
          <w:rFonts w:cstheme="minorHAnsi"/>
          <w:sz w:val="24"/>
          <w:szCs w:val="24"/>
          <w:bdr w:val="nil"/>
        </w:rPr>
        <w:t>da 15 a 17 anni di età</w:t>
      </w:r>
      <w:r w:rsidRPr="00A17BFA">
        <w:rPr>
          <w:rFonts w:cstheme="minorHAnsi"/>
          <w:sz w:val="24"/>
          <w:szCs w:val="24"/>
          <w:bdr w:val="nil"/>
        </w:rPr>
        <w:t xml:space="preserve"> </w:t>
      </w:r>
      <w:r w:rsidRPr="00A17BFA">
        <w:rPr>
          <w:rFonts w:cstheme="minorHAnsi"/>
          <w:sz w:val="24"/>
          <w:szCs w:val="24"/>
          <w:bdr w:val="nil"/>
        </w:rPr>
        <w:t>deve essere modificata in base al peso: 20-40 mg/kg al giorno (massimo 2400 mg al giorno) in 3-4 dosi separate.</w:t>
      </w:r>
    </w:p>
    <w:p w14:paraId="290B6626" w14:textId="77777777" w:rsidR="00396280" w:rsidRPr="00A17BFA" w:rsidRDefault="00396280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</w:p>
    <w:p w14:paraId="7FCDCE11" w14:textId="3C4B1FB0" w:rsidR="00396280" w:rsidRPr="00A17BFA" w:rsidRDefault="00396280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>Questo medicinale non è raccomandato nei bambini con meno di 12 anni di età e negli adolescenti con peso inferiore a 40 k</w:t>
      </w:r>
      <w:r w:rsidRPr="00A17BFA">
        <w:rPr>
          <w:rFonts w:cstheme="minorHAnsi"/>
          <w:sz w:val="24"/>
          <w:szCs w:val="24"/>
          <w:bdr w:val="nil"/>
        </w:rPr>
        <w:t>g.</w:t>
      </w:r>
    </w:p>
    <w:p w14:paraId="661BD8CC" w14:textId="77777777" w:rsidR="00396280" w:rsidRPr="00A17BFA" w:rsidRDefault="00396280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</w:p>
    <w:p w14:paraId="783D6CC6" w14:textId="4B99CB5F" w:rsidR="00C40151" w:rsidRPr="00A17BFA" w:rsidRDefault="006D3DEF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>La linea di frattura, presente sulla compressa da 400 mg, non è intesa per dividere la compressa.</w:t>
      </w:r>
    </w:p>
    <w:p w14:paraId="68ED5DCD" w14:textId="77777777" w:rsidR="006D3DEF" w:rsidRPr="00A17BFA" w:rsidRDefault="006D3DEF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</w:p>
    <w:p w14:paraId="5AAA6599" w14:textId="6B8712C3" w:rsidR="00396280" w:rsidRPr="00A17BFA" w:rsidRDefault="001C15DF" w:rsidP="00396280">
      <w:pPr>
        <w:tabs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>Le compresse devono essere assunte intere (non frantumate o masticate</w:t>
      </w:r>
      <w:r w:rsidR="007266D8" w:rsidRPr="00A17BFA">
        <w:rPr>
          <w:rFonts w:cstheme="minorHAnsi"/>
          <w:sz w:val="24"/>
          <w:szCs w:val="24"/>
          <w:bdr w:val="nil"/>
        </w:rPr>
        <w:t>)</w:t>
      </w:r>
      <w:r w:rsidRPr="00A17BFA">
        <w:rPr>
          <w:rFonts w:cstheme="minorHAnsi"/>
          <w:sz w:val="24"/>
          <w:szCs w:val="24"/>
          <w:bdr w:val="nil"/>
        </w:rPr>
        <w:t xml:space="preserve"> con </w:t>
      </w:r>
      <w:r w:rsidR="00433B48" w:rsidRPr="00A17BFA">
        <w:rPr>
          <w:rFonts w:cstheme="minorHAnsi"/>
          <w:sz w:val="24"/>
          <w:szCs w:val="24"/>
          <w:bdr w:val="nil"/>
        </w:rPr>
        <w:t>un bicchiere d’</w:t>
      </w:r>
      <w:r w:rsidRPr="00A17BFA">
        <w:rPr>
          <w:rFonts w:cstheme="minorHAnsi"/>
          <w:sz w:val="24"/>
          <w:szCs w:val="24"/>
          <w:bdr w:val="nil"/>
        </w:rPr>
        <w:t>acqua</w:t>
      </w:r>
      <w:r w:rsidR="00DD7745" w:rsidRPr="00A17BFA">
        <w:rPr>
          <w:rFonts w:cstheme="minorHAnsi"/>
          <w:sz w:val="24"/>
          <w:szCs w:val="24"/>
          <w:bdr w:val="nil"/>
        </w:rPr>
        <w:t>.</w:t>
      </w:r>
      <w:r w:rsidR="00396280" w:rsidRPr="00A17BFA">
        <w:rPr>
          <w:rFonts w:cstheme="minorHAnsi"/>
          <w:sz w:val="24"/>
          <w:szCs w:val="24"/>
          <w:bdr w:val="nil"/>
        </w:rPr>
        <w:t xml:space="preserve"> </w:t>
      </w:r>
    </w:p>
    <w:p w14:paraId="6782DC84" w14:textId="56087DBD" w:rsidR="00BB2AF8" w:rsidRPr="00A17BFA" w:rsidRDefault="00396280" w:rsidP="00396280">
      <w:pPr>
        <w:tabs>
          <w:tab w:val="left" w:pos="284"/>
        </w:tabs>
        <w:spacing w:after="0" w:line="240" w:lineRule="auto"/>
        <w:jc w:val="both"/>
        <w:rPr>
          <w:rFonts w:cstheme="minorHAnsi"/>
          <w:sz w:val="24"/>
          <w:szCs w:val="24"/>
          <w:bdr w:val="nil"/>
        </w:rPr>
      </w:pPr>
      <w:r w:rsidRPr="00A17BFA">
        <w:rPr>
          <w:rFonts w:cstheme="minorHAnsi"/>
          <w:sz w:val="24"/>
          <w:szCs w:val="24"/>
          <w:bdr w:val="nil"/>
        </w:rPr>
        <w:t>Ai pazienti con uno stomaco sensibile si raccomanda di assumere DOLZAN  insieme a del cibo.</w:t>
      </w:r>
    </w:p>
    <w:p w14:paraId="2252A612" w14:textId="77777777" w:rsidR="00F96473" w:rsidRPr="00A17BFA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57B9CC84" w14:textId="77777777" w:rsidR="00F96473" w:rsidRPr="00A17BFA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0DE7C4D7" w14:textId="355A9706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0339F6B4" w14:textId="6C9987CC" w:rsidR="006E1530" w:rsidRPr="00A17BFA" w:rsidRDefault="00EC116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396280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, il cui codice ATC è </w:t>
      </w:r>
      <w:r w:rsidR="00396280" w:rsidRPr="00A17BFA">
        <w:rPr>
          <w:rFonts w:cstheme="minorHAnsi"/>
          <w:sz w:val="24"/>
          <w:szCs w:val="24"/>
          <w:bdr w:val="nil"/>
        </w:rPr>
        <w:t>M01AE01</w:t>
      </w:r>
      <w:r w:rsidR="00EE1613"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contiene ibuprofene appartenente ad un gruppo di medicinali chiamati</w:t>
      </w:r>
      <w:r w:rsidR="00E35DBB"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EE1613"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>FANS (farmaci anti-infiammatori non s</w:t>
      </w:r>
      <w:r w:rsidR="00EF7CB7" w:rsidRPr="00A17BFA">
        <w:rPr>
          <w:rFonts w:eastAsia="Calibri" w:cstheme="minorHAnsi"/>
          <w:bCs/>
          <w:color w:val="000000"/>
          <w:sz w:val="24"/>
          <w:szCs w:val="24"/>
          <w:lang w:eastAsia="it-IT"/>
        </w:rPr>
        <w:t>teroidei). i fans sono farmaci utilizzati per il trattamento del dolore o dell’infiammazione.</w:t>
      </w:r>
    </w:p>
    <w:p w14:paraId="3B4AE0C9" w14:textId="7D61F804" w:rsidR="006E1530" w:rsidRDefault="006E153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</w:p>
    <w:p w14:paraId="3274AAC3" w14:textId="77777777" w:rsidR="000F7B7D" w:rsidRPr="00A17BFA" w:rsidRDefault="000F7B7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</w:p>
    <w:p w14:paraId="5050FBA0" w14:textId="58FB9CDC" w:rsidR="00BB2AF8" w:rsidRPr="00A17BFA" w:rsidRDefault="00EE161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 w:rsidDel="00EE1613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BB2AF8"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="00BB2AF8"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CCE4F26" w14:textId="484BD77D" w:rsidR="006B311C" w:rsidRPr="00A17BFA" w:rsidRDefault="00EC116F" w:rsidP="004F375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321954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21954" w:rsidRPr="00A17BFA">
        <w:rPr>
          <w:rFonts w:cstheme="minorHAnsi"/>
          <w:sz w:val="24"/>
          <w:szCs w:val="24"/>
        </w:rPr>
        <w:t xml:space="preserve">è un medicinale generico. Poiché il profilo di sicurezza e l’efficacia del principio attivo di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321954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21954" w:rsidRPr="00A17BFA">
        <w:rPr>
          <w:rFonts w:cstheme="minorHAnsi"/>
          <w:sz w:val="24"/>
          <w:szCs w:val="24"/>
        </w:rPr>
        <w:t xml:space="preserve">è ben conosciuto in quanto il medicinale di riferimento è autorizzato da almeno 8 anni nell’Unione europea, a supporto dell’efficacia e della sicurezza di </w:t>
      </w: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321954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21954" w:rsidRPr="00A17BFA">
        <w:rPr>
          <w:rFonts w:cstheme="minorHAnsi"/>
          <w:sz w:val="24"/>
          <w:szCs w:val="24"/>
        </w:rPr>
        <w:t>sono state effettuate prove cliniche di confronto con il medicinale di riferimento per determinare</w:t>
      </w:r>
      <w:r w:rsidR="00321954" w:rsidRPr="00A17BFA">
        <w:rPr>
          <w:rFonts w:cstheme="minorHAnsi"/>
          <w:b/>
          <w:sz w:val="24"/>
          <w:szCs w:val="24"/>
        </w:rPr>
        <w:t xml:space="preserve"> </w:t>
      </w:r>
      <w:r w:rsidR="00321954" w:rsidRPr="00A17BFA">
        <w:rPr>
          <w:rFonts w:cstheme="minorHAnsi"/>
          <w:sz w:val="24"/>
          <w:szCs w:val="24"/>
        </w:rPr>
        <w:t xml:space="preserve">la bioequivalenza rispetto al medicinale di riferimento </w:t>
      </w:r>
      <w:r w:rsidR="004F3756" w:rsidRPr="00A17BFA">
        <w:rPr>
          <w:rFonts w:cstheme="minorHAnsi"/>
          <w:sz w:val="24"/>
          <w:szCs w:val="24"/>
        </w:rPr>
        <w:t>BRUFEN.</w:t>
      </w:r>
      <w:r w:rsidR="00F96473" w:rsidRPr="00A17BFA">
        <w:rPr>
          <w:rFonts w:cstheme="minorHAnsi"/>
          <w:sz w:val="24"/>
          <w:szCs w:val="24"/>
        </w:rPr>
        <w:t xml:space="preserve"> Due medicinali sono </w:t>
      </w:r>
      <w:proofErr w:type="spellStart"/>
      <w:r w:rsidR="00F96473" w:rsidRPr="00A17BFA">
        <w:rPr>
          <w:rFonts w:cstheme="minorHAnsi"/>
          <w:sz w:val="24"/>
          <w:szCs w:val="24"/>
        </w:rPr>
        <w:t>bioequivalenti</w:t>
      </w:r>
      <w:proofErr w:type="spellEnd"/>
      <w:r w:rsidR="00F96473" w:rsidRPr="00A17BFA">
        <w:rPr>
          <w:rFonts w:cstheme="minorHAnsi"/>
          <w:sz w:val="24"/>
          <w:szCs w:val="24"/>
        </w:rPr>
        <w:t xml:space="preserve"> quando producono gli stessi livelli di principio attivo nell’organismo. </w:t>
      </w:r>
    </w:p>
    <w:p w14:paraId="61BF0F96" w14:textId="40C7D7AD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DA9E3B6" w14:textId="77777777" w:rsidR="000F7B7D" w:rsidRPr="00A17BFA" w:rsidRDefault="000F7B7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9C5E2D4" w14:textId="2096B7D2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Pr="00A17BFA">
        <w:rPr>
          <w:rFonts w:eastAsia="Calibri" w:cstheme="minorHAnsi"/>
          <w:b/>
          <w:sz w:val="24"/>
          <w:szCs w:val="24"/>
          <w:lang w:eastAsia="it-IT"/>
        </w:rPr>
        <w:t>?</w:t>
      </w:r>
      <w:r w:rsidRPr="00A17BFA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79BCA17" w14:textId="5116ABDC" w:rsidR="00BB2AF8" w:rsidRPr="00A17BFA" w:rsidRDefault="00EC116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17BFA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17BFA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17BFA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6EA49D8F" w14:textId="09918B1F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F92DB1C" w14:textId="77777777" w:rsidR="000F7B7D" w:rsidRPr="00A17BFA" w:rsidRDefault="000F7B7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C3D628C" w14:textId="587477FC" w:rsidR="00BB2AF8" w:rsidRPr="00A17BF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072BEC19" w14:textId="3FC8F6B2" w:rsidR="00A17BFA" w:rsidRPr="00A17BFA" w:rsidRDefault="00A17BF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sz w:val="24"/>
          <w:szCs w:val="24"/>
          <w:lang w:eastAsia="it-IT"/>
        </w:rPr>
        <w:t>A seguito dell’istruttoria condotta dall’AIFA, conformemente ai requisiti della normativa vigente, I benefici di DOLZAN sono superiori ai rischi individuati. L’AIFA  ha inoltre definito le modalità di prescrizione di cui al punto 2) di questo Riassunto e la classe di rimborsabilità del medicinale (</w:t>
      </w:r>
      <w:proofErr w:type="spellStart"/>
      <w:r w:rsidRPr="00A17BFA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Pr="00A17BFA">
        <w:rPr>
          <w:rFonts w:eastAsia="Calibri" w:cstheme="minorHAnsi"/>
          <w:sz w:val="24"/>
          <w:szCs w:val="24"/>
          <w:lang w:eastAsia="it-IT"/>
        </w:rPr>
        <w:t>).</w:t>
      </w:r>
    </w:p>
    <w:p w14:paraId="36842590" w14:textId="2FEC9983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22CA165A" w14:textId="77777777" w:rsidR="000F7B7D" w:rsidRPr="00A17BFA" w:rsidRDefault="000F7B7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0B0BEC11" w14:textId="0BE5059E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  <w:r w:rsidRPr="00A17BFA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636C08D6" w14:textId="6C152D3A" w:rsidR="004241AC" w:rsidRPr="00A17BFA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17BFA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4241AC" w:rsidRPr="00A17BFA">
        <w:rPr>
          <w:rFonts w:eastAsia="Calibri" w:cstheme="minorHAnsi"/>
          <w:sz w:val="24"/>
          <w:szCs w:val="24"/>
          <w:lang w:eastAsia="it-IT"/>
        </w:rPr>
        <w:t>.</w:t>
      </w:r>
    </w:p>
    <w:p w14:paraId="429BF094" w14:textId="77777777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3693AC0" w14:textId="77777777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6FFC18D" w14:textId="0374F812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EC116F" w:rsidRPr="00A17BFA">
        <w:rPr>
          <w:rFonts w:eastAsia="Calibri" w:cstheme="minorHAnsi"/>
          <w:b/>
          <w:color w:val="000000"/>
          <w:sz w:val="24"/>
          <w:szCs w:val="24"/>
          <w:lang w:eastAsia="it-IT"/>
        </w:rPr>
        <w:t>DOLZAN</w:t>
      </w:r>
    </w:p>
    <w:p w14:paraId="18C329F6" w14:textId="0CC45D8C" w:rsidR="006044BC" w:rsidRPr="00A17BFA" w:rsidRDefault="004241AC" w:rsidP="00CF5E4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A17BFA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DA1ACA" w:rsidRPr="00A17BFA">
        <w:rPr>
          <w:rFonts w:eastAsia="Calibri" w:cstheme="minorHAnsi"/>
          <w:bCs/>
          <w:iCs/>
          <w:sz w:val="24"/>
          <w:szCs w:val="24"/>
          <w:lang w:eastAsia="it-IT"/>
        </w:rPr>
        <w:t xml:space="preserve">14 luglio 2025 </w:t>
      </w:r>
      <w:r w:rsidR="0089141E" w:rsidRPr="00A17BFA">
        <w:rPr>
          <w:rFonts w:eastAsia="Calibri" w:cstheme="minorHAnsi"/>
          <w:bCs/>
          <w:iCs/>
          <w:sz w:val="24"/>
          <w:szCs w:val="24"/>
          <w:lang w:eastAsia="it-IT"/>
        </w:rPr>
        <w:t>(GU Serie Generale n.1</w:t>
      </w:r>
      <w:r w:rsidR="00AB6B04" w:rsidRPr="00A17BFA">
        <w:rPr>
          <w:rFonts w:eastAsia="Calibri" w:cstheme="minorHAnsi"/>
          <w:bCs/>
          <w:iCs/>
          <w:sz w:val="24"/>
          <w:szCs w:val="24"/>
          <w:lang w:eastAsia="it-IT"/>
        </w:rPr>
        <w:t>73</w:t>
      </w:r>
      <w:r w:rsidR="0089141E" w:rsidRPr="00A17BFA">
        <w:rPr>
          <w:rFonts w:eastAsia="Calibri" w:cstheme="minorHAnsi"/>
          <w:bCs/>
          <w:iCs/>
          <w:sz w:val="24"/>
          <w:szCs w:val="24"/>
          <w:lang w:eastAsia="it-IT"/>
        </w:rPr>
        <w:t xml:space="preserve"> del </w:t>
      </w:r>
      <w:r w:rsidR="00DA1ACA" w:rsidRPr="00A17BFA">
        <w:rPr>
          <w:rFonts w:eastAsia="Calibri" w:cstheme="minorHAnsi"/>
          <w:bCs/>
          <w:iCs/>
          <w:sz w:val="24"/>
          <w:szCs w:val="24"/>
          <w:lang w:eastAsia="it-IT"/>
        </w:rPr>
        <w:t>28</w:t>
      </w:r>
      <w:r w:rsidR="0089141E" w:rsidRPr="00A17BFA">
        <w:rPr>
          <w:rFonts w:eastAsia="Calibri" w:cstheme="minorHAnsi"/>
          <w:bCs/>
          <w:iCs/>
          <w:sz w:val="24"/>
          <w:szCs w:val="24"/>
          <w:lang w:eastAsia="it-IT"/>
        </w:rPr>
        <w:t>-0</w:t>
      </w:r>
      <w:r w:rsidR="00DA1ACA" w:rsidRPr="00A17BFA">
        <w:rPr>
          <w:rFonts w:eastAsia="Calibri" w:cstheme="minorHAnsi"/>
          <w:bCs/>
          <w:iCs/>
          <w:sz w:val="24"/>
          <w:szCs w:val="24"/>
          <w:lang w:eastAsia="it-IT"/>
        </w:rPr>
        <w:t>7</w:t>
      </w:r>
      <w:r w:rsidR="0089141E" w:rsidRPr="00A17BFA">
        <w:rPr>
          <w:rFonts w:eastAsia="Calibri" w:cstheme="minorHAnsi"/>
          <w:bCs/>
          <w:iCs/>
          <w:sz w:val="24"/>
          <w:szCs w:val="24"/>
          <w:lang w:eastAsia="it-IT"/>
        </w:rPr>
        <w:t>-202</w:t>
      </w:r>
      <w:r w:rsidR="00DA1ACA" w:rsidRPr="00A17BFA">
        <w:rPr>
          <w:rFonts w:eastAsia="Calibri" w:cstheme="minorHAnsi"/>
          <w:bCs/>
          <w:iCs/>
          <w:sz w:val="24"/>
          <w:szCs w:val="24"/>
          <w:lang w:eastAsia="it-IT"/>
        </w:rPr>
        <w:t>5</w:t>
      </w:r>
      <w:r w:rsidR="0089141E" w:rsidRPr="00A17BFA">
        <w:rPr>
          <w:rFonts w:eastAsia="Calibri" w:cstheme="minorHAnsi"/>
          <w:bCs/>
          <w:iCs/>
          <w:sz w:val="24"/>
          <w:szCs w:val="24"/>
          <w:lang w:eastAsia="it-IT"/>
        </w:rPr>
        <w:t>)</w:t>
      </w:r>
      <w:r w:rsidRPr="00A17BFA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</w:t>
      </w:r>
      <w:r w:rsidR="00CF5E46" w:rsidRPr="00A17BFA">
        <w:rPr>
          <w:rFonts w:eastAsia="Calibri" w:cstheme="minorHAnsi"/>
          <w:bCs/>
          <w:iCs/>
          <w:sz w:val="24"/>
          <w:szCs w:val="24"/>
          <w:lang w:eastAsia="it-IT"/>
        </w:rPr>
        <w:t xml:space="preserve"> IBUPROFENE VI.REL.</w:t>
      </w:r>
    </w:p>
    <w:p w14:paraId="6DF29224" w14:textId="77777777" w:rsidR="004E5A39" w:rsidRPr="00A17BFA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0DDD66BE" w14:textId="77777777" w:rsidR="004E5A39" w:rsidRPr="00A17BFA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01BB3DA6" w14:textId="53439088" w:rsidR="004241AC" w:rsidRPr="00A17BF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EC116F" w:rsidRPr="00A17BF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A17BF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17BFA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17BFA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17BFA">
        <w:rPr>
          <w:rFonts w:eastAsia="Calibri" w:cstheme="minorHAnsi"/>
          <w:sz w:val="24"/>
          <w:szCs w:val="24"/>
          <w:lang w:eastAsia="it-IT"/>
        </w:rPr>
        <w:t>(</w:t>
      </w:r>
      <w:hyperlink r:id="rId11" w:history="1">
        <w:r w:rsidR="000F7B7D" w:rsidRPr="006D74E0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0F7B7D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17BFA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17BFA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17BFA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17BFA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29135AC9" w14:textId="77777777" w:rsidR="004241AC" w:rsidRPr="00A17BFA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436AF1F" w14:textId="0FD43775" w:rsidR="00A17BFA" w:rsidRDefault="004241AC" w:rsidP="00A17BFA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17BFA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17BFA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A17BFA" w:rsidRPr="00A17BFA">
        <w:rPr>
          <w:rFonts w:eastAsia="Calibri" w:cstheme="minorHAnsi"/>
          <w:sz w:val="24"/>
          <w:szCs w:val="24"/>
          <w:lang w:eastAsia="it-IT"/>
        </w:rPr>
        <w:t>21/11/2025.</w:t>
      </w:r>
    </w:p>
    <w:p w14:paraId="5B6040F2" w14:textId="77777777" w:rsidR="00A17BFA" w:rsidRDefault="00A17BFA">
      <w:pPr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br w:type="page"/>
      </w:r>
    </w:p>
    <w:p w14:paraId="4A3FE22A" w14:textId="77777777" w:rsidR="00A03D3C" w:rsidRPr="00A17BFA" w:rsidRDefault="00A03D3C" w:rsidP="00A17BF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0E9086F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RELAZIONE PUBBLICA DI VALUTAZIONE</w:t>
      </w:r>
    </w:p>
    <w:p w14:paraId="16F571CE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</w:p>
    <w:p w14:paraId="611B9964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</w:p>
    <w:p w14:paraId="7AD87BF3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</w:p>
    <w:p w14:paraId="5E180553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</w:p>
    <w:p w14:paraId="5A91184B" w14:textId="77777777" w:rsidR="004E5A39" w:rsidRPr="000F7B7D" w:rsidRDefault="004E5A39" w:rsidP="004E5A39">
      <w:pPr>
        <w:spacing w:after="0" w:line="240" w:lineRule="auto"/>
        <w:jc w:val="center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INDICE</w:t>
      </w:r>
    </w:p>
    <w:p w14:paraId="0B5DD89B" w14:textId="77777777" w:rsidR="004E5A39" w:rsidRPr="000F7B7D" w:rsidRDefault="004E5A39" w:rsidP="004E5A39">
      <w:pPr>
        <w:spacing w:after="0" w:line="240" w:lineRule="auto"/>
        <w:jc w:val="both"/>
        <w:rPr>
          <w:sz w:val="24"/>
          <w:szCs w:val="24"/>
        </w:rPr>
      </w:pPr>
    </w:p>
    <w:p w14:paraId="2A4B603E" w14:textId="77777777" w:rsidR="004E5A39" w:rsidRPr="000F7B7D" w:rsidRDefault="004E5A39" w:rsidP="004E5A39">
      <w:pPr>
        <w:spacing w:after="0" w:line="240" w:lineRule="auto"/>
        <w:jc w:val="both"/>
        <w:rPr>
          <w:sz w:val="24"/>
          <w:szCs w:val="24"/>
        </w:rPr>
      </w:pPr>
    </w:p>
    <w:p w14:paraId="28B7EB43" w14:textId="77777777" w:rsidR="004E5A39" w:rsidRPr="000F7B7D" w:rsidRDefault="004E5A39" w:rsidP="004E5A39">
      <w:pPr>
        <w:spacing w:after="0" w:line="240" w:lineRule="auto"/>
        <w:jc w:val="both"/>
        <w:rPr>
          <w:sz w:val="24"/>
          <w:szCs w:val="24"/>
        </w:rPr>
      </w:pPr>
    </w:p>
    <w:p w14:paraId="32C940C8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INTRODUZIONE</w:t>
      </w:r>
    </w:p>
    <w:p w14:paraId="6DC71185" w14:textId="77777777" w:rsidR="004E5A39" w:rsidRPr="000F7B7D" w:rsidRDefault="004E5A39" w:rsidP="004E5A39">
      <w:pPr>
        <w:spacing w:after="0" w:line="240" w:lineRule="auto"/>
        <w:jc w:val="both"/>
        <w:rPr>
          <w:sz w:val="24"/>
          <w:szCs w:val="24"/>
        </w:rPr>
      </w:pPr>
    </w:p>
    <w:p w14:paraId="08F8057E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ASPETTI DI QUALITA’</w:t>
      </w:r>
    </w:p>
    <w:p w14:paraId="2DF77516" w14:textId="77777777" w:rsidR="004E5A39" w:rsidRPr="000F7B7D" w:rsidRDefault="004E5A39" w:rsidP="004E5A39">
      <w:pPr>
        <w:pStyle w:val="Paragrafoelenco"/>
        <w:rPr>
          <w:b/>
          <w:sz w:val="24"/>
          <w:szCs w:val="24"/>
        </w:rPr>
      </w:pPr>
    </w:p>
    <w:p w14:paraId="09539D52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ASPETTI NON CLINICI</w:t>
      </w:r>
    </w:p>
    <w:p w14:paraId="67C6FB79" w14:textId="77777777" w:rsidR="004E5A39" w:rsidRPr="000F7B7D" w:rsidRDefault="004E5A39" w:rsidP="004E5A39">
      <w:pPr>
        <w:pStyle w:val="Paragrafoelenco"/>
        <w:rPr>
          <w:b/>
          <w:sz w:val="24"/>
          <w:szCs w:val="24"/>
        </w:rPr>
      </w:pPr>
    </w:p>
    <w:p w14:paraId="57AA42FF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ASPETTI CLINICI</w:t>
      </w:r>
    </w:p>
    <w:p w14:paraId="39D91C02" w14:textId="77777777" w:rsidR="004E5A39" w:rsidRPr="000F7B7D" w:rsidRDefault="004E5A39" w:rsidP="004E5A39">
      <w:pPr>
        <w:pStyle w:val="Paragrafoelenco"/>
        <w:rPr>
          <w:b/>
          <w:sz w:val="24"/>
          <w:szCs w:val="24"/>
        </w:rPr>
      </w:pPr>
    </w:p>
    <w:p w14:paraId="59145DBB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CONSULTAZIONE SUL FOGLIO ILLUSTRATIVO</w:t>
      </w:r>
    </w:p>
    <w:p w14:paraId="7D5CA313" w14:textId="77777777" w:rsidR="004E5A39" w:rsidRPr="000F7B7D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4"/>
          <w:szCs w:val="24"/>
        </w:rPr>
      </w:pPr>
    </w:p>
    <w:p w14:paraId="65E90F6E" w14:textId="77777777" w:rsidR="004E5A39" w:rsidRPr="000F7B7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F7B7D">
        <w:rPr>
          <w:b/>
          <w:sz w:val="24"/>
          <w:szCs w:val="24"/>
        </w:rPr>
        <w:t>CONCLUSIONI, VALUTAZIONE DEL RAPPORTO BENEFICIO/RISCHIO E RACCOMANDAZIONI</w:t>
      </w:r>
    </w:p>
    <w:p w14:paraId="3901CECC" w14:textId="77777777" w:rsidR="004E5A39" w:rsidRPr="000F7B7D" w:rsidRDefault="004E5A39" w:rsidP="004E5A39">
      <w:pPr>
        <w:rPr>
          <w:sz w:val="24"/>
          <w:szCs w:val="24"/>
        </w:rPr>
      </w:pPr>
    </w:p>
    <w:p w14:paraId="156727CD" w14:textId="77777777" w:rsidR="004E5A39" w:rsidRDefault="004E5A39" w:rsidP="004E5A39"/>
    <w:p w14:paraId="316EA616" w14:textId="77777777" w:rsidR="004E5A39" w:rsidRDefault="004E5A39" w:rsidP="004E5A39"/>
    <w:p w14:paraId="7CE65FD2" w14:textId="77777777" w:rsidR="004E5A39" w:rsidRDefault="004E5A39" w:rsidP="004E5A39"/>
    <w:p w14:paraId="2CF70695" w14:textId="77777777" w:rsidR="004E5A39" w:rsidRDefault="004E5A39" w:rsidP="004E5A39"/>
    <w:p w14:paraId="1BC44F62" w14:textId="77777777" w:rsidR="004E5A39" w:rsidRDefault="004E5A39" w:rsidP="004E5A39"/>
    <w:p w14:paraId="5526207E" w14:textId="77777777" w:rsidR="004E5A39" w:rsidRDefault="004E5A39" w:rsidP="004E5A39"/>
    <w:p w14:paraId="32B95CF6" w14:textId="77777777" w:rsidR="004E5A39" w:rsidRDefault="004E5A39" w:rsidP="004E5A39"/>
    <w:p w14:paraId="0C302562" w14:textId="77777777" w:rsidR="004E5A39" w:rsidRDefault="004E5A39" w:rsidP="004E5A39"/>
    <w:p w14:paraId="2E16D62D" w14:textId="77777777" w:rsidR="004E5A39" w:rsidRDefault="004E5A39" w:rsidP="004E5A39"/>
    <w:p w14:paraId="3D235151" w14:textId="77777777" w:rsidR="004E5A39" w:rsidRDefault="004E5A39" w:rsidP="004E5A39"/>
    <w:p w14:paraId="0EF36985" w14:textId="77777777" w:rsidR="00EF6711" w:rsidRDefault="00EF6711" w:rsidP="004E5A39"/>
    <w:p w14:paraId="2B23C5AB" w14:textId="77777777" w:rsidR="00EF6711" w:rsidRDefault="00EF6711" w:rsidP="004E5A39"/>
    <w:p w14:paraId="16630D5C" w14:textId="77777777" w:rsidR="00EF6711" w:rsidRDefault="00EF6711" w:rsidP="004E5A39"/>
    <w:p w14:paraId="71044CE6" w14:textId="77777777" w:rsidR="00CC52A3" w:rsidRDefault="00CC52A3" w:rsidP="004E5A39"/>
    <w:p w14:paraId="4D070286" w14:textId="77777777" w:rsidR="00CC52A3" w:rsidRDefault="00CC52A3" w:rsidP="004E5A39"/>
    <w:p w14:paraId="20F8A8F8" w14:textId="77777777" w:rsidR="00EF6711" w:rsidRPr="002B766A" w:rsidRDefault="00EF6711" w:rsidP="002B766A">
      <w:pPr>
        <w:jc w:val="both"/>
        <w:rPr>
          <w:rFonts w:cstheme="minorHAnsi"/>
          <w:sz w:val="24"/>
          <w:szCs w:val="24"/>
        </w:rPr>
      </w:pPr>
    </w:p>
    <w:p w14:paraId="7E770735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INTRODUZIONE</w:t>
      </w:r>
    </w:p>
    <w:p w14:paraId="3159A859" w14:textId="77777777" w:rsidR="00CD312D" w:rsidRPr="002B766A" w:rsidRDefault="00CD312D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80E0A34" w14:textId="14EC421A" w:rsidR="006044BC" w:rsidRPr="002B766A" w:rsidRDefault="004E5A39" w:rsidP="002B76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highlight w:val="yellow"/>
          <w:lang w:eastAsia="it-IT"/>
        </w:rPr>
      </w:pPr>
      <w:r w:rsidRPr="002B766A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0F7B7D" w:rsidRPr="002B766A">
        <w:rPr>
          <w:rFonts w:cstheme="minorHAnsi"/>
          <w:sz w:val="24"/>
          <w:szCs w:val="24"/>
        </w:rPr>
        <w:t xml:space="preserve">LABORATORI ALTER S.r.l. </w:t>
      </w:r>
      <w:r w:rsidRPr="002B766A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0F7B7D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6044BC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14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 xml:space="preserve"> luglio 202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5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 xml:space="preserve"> (GU Serie Generale n.1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73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 xml:space="preserve"> del 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28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>-0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7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>-202</w:t>
      </w:r>
      <w:r w:rsidR="000F7B7D" w:rsidRPr="002B766A">
        <w:rPr>
          <w:rFonts w:eastAsia="Calibri" w:cstheme="minorHAnsi"/>
          <w:bCs/>
          <w:iCs/>
          <w:sz w:val="24"/>
          <w:szCs w:val="24"/>
          <w:lang w:eastAsia="it-IT"/>
        </w:rPr>
        <w:t>5</w:t>
      </w:r>
      <w:r w:rsidR="006044BC" w:rsidRPr="002B766A">
        <w:rPr>
          <w:rFonts w:eastAsia="Calibri" w:cstheme="minorHAnsi"/>
          <w:bCs/>
          <w:iCs/>
          <w:sz w:val="24"/>
          <w:szCs w:val="24"/>
          <w:lang w:eastAsia="it-IT"/>
        </w:rPr>
        <w:t>).</w:t>
      </w:r>
    </w:p>
    <w:p w14:paraId="74194F7D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0B525E" w14:textId="5853C6B7" w:rsidR="00DB7B9A" w:rsidRPr="002B766A" w:rsidRDefault="00EC116F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it-IT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EF6711" w:rsidRPr="002B766A">
        <w:rPr>
          <w:rFonts w:eastAsia="Calibri" w:cstheme="minorHAnsi"/>
          <w:color w:val="000000"/>
          <w:sz w:val="24"/>
          <w:szCs w:val="24"/>
          <w:lang w:eastAsia="it-IT"/>
        </w:rPr>
        <w:t>può essere ottenuto solo su</w:t>
      </w:r>
      <w:r w:rsidR="00DB7B9A" w:rsidRPr="002B766A">
        <w:rPr>
          <w:rFonts w:cstheme="minorHAnsi"/>
          <w:color w:val="000000"/>
          <w:sz w:val="24"/>
          <w:szCs w:val="24"/>
        </w:rPr>
        <w:t xml:space="preserve"> prescrizione da parte del medico (ricetta ripetibile).</w:t>
      </w:r>
    </w:p>
    <w:p w14:paraId="6F639F9C" w14:textId="77777777" w:rsidR="00DB7B9A" w:rsidRPr="002B766A" w:rsidRDefault="00DB7B9A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EF1E1A" w14:textId="77777777" w:rsidR="00DB7B9A" w:rsidRPr="002B766A" w:rsidRDefault="00DB7B9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Questa procedura è stata presentata ai sensi dell’art. 10.1 (</w:t>
      </w:r>
      <w:proofErr w:type="spellStart"/>
      <w:r w:rsidRPr="002B766A">
        <w:rPr>
          <w:rFonts w:cstheme="minorHAnsi"/>
          <w:sz w:val="24"/>
          <w:szCs w:val="24"/>
        </w:rPr>
        <w:t>generic</w:t>
      </w:r>
      <w:proofErr w:type="spellEnd"/>
      <w:r w:rsidRPr="002B766A">
        <w:rPr>
          <w:rFonts w:cstheme="minorHAnsi"/>
          <w:sz w:val="24"/>
          <w:szCs w:val="24"/>
        </w:rPr>
        <w:t xml:space="preserve"> application) della Direttiva 2001/83/EU </w:t>
      </w:r>
      <w:proofErr w:type="spellStart"/>
      <w:r w:rsidRPr="002B766A">
        <w:rPr>
          <w:rFonts w:cstheme="minorHAnsi"/>
          <w:sz w:val="24"/>
          <w:szCs w:val="24"/>
        </w:rPr>
        <w:t>s.m.i.</w:t>
      </w:r>
      <w:proofErr w:type="spellEnd"/>
    </w:p>
    <w:p w14:paraId="7F62C427" w14:textId="77777777" w:rsidR="00DB7B9A" w:rsidRPr="002B766A" w:rsidRDefault="00DB7B9A" w:rsidP="002B766A">
      <w:pPr>
        <w:widowControl w:val="0"/>
        <w:spacing w:after="0" w:line="240" w:lineRule="auto"/>
        <w:jc w:val="both"/>
        <w:rPr>
          <w:rFonts w:cstheme="minorHAnsi"/>
          <w:bCs/>
          <w:sz w:val="24"/>
          <w:szCs w:val="24"/>
          <w:lang w:eastAsia="it-IT"/>
        </w:rPr>
      </w:pPr>
    </w:p>
    <w:p w14:paraId="0B0BFDEA" w14:textId="5F8B8987" w:rsidR="004E5A39" w:rsidRPr="002B766A" w:rsidRDefault="00EC116F" w:rsidP="002B766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C42AAC" w:rsidRPr="002B766A">
        <w:rPr>
          <w:rFonts w:eastAsia="Calibri" w:cstheme="minorHAnsi"/>
          <w:sz w:val="24"/>
          <w:szCs w:val="24"/>
          <w:lang w:eastAsia="it-IT"/>
        </w:rPr>
        <w:t xml:space="preserve"> </w:t>
      </w:r>
      <w:r w:rsidR="00DB7B9A" w:rsidRPr="002B766A">
        <w:rPr>
          <w:rFonts w:eastAsia="Calibri" w:cstheme="minorHAnsi"/>
          <w:sz w:val="24"/>
          <w:szCs w:val="24"/>
          <w:lang w:eastAsia="it-IT"/>
        </w:rPr>
        <w:t>ibuprofene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noto</w:t>
      </w:r>
      <w:r w:rsidR="00DB7B9A" w:rsidRPr="002B766A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>e present</w:t>
      </w:r>
      <w:r w:rsidR="00C42AAC" w:rsidRPr="002B766A">
        <w:rPr>
          <w:rFonts w:eastAsia="Calibri" w:cstheme="minorHAnsi"/>
          <w:sz w:val="24"/>
          <w:szCs w:val="24"/>
          <w:lang w:eastAsia="it-IT"/>
        </w:rPr>
        <w:t>e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DB7B9A" w:rsidRPr="002B766A">
        <w:rPr>
          <w:rFonts w:eastAsia="Calibri" w:cstheme="minorHAnsi"/>
          <w:sz w:val="24"/>
          <w:szCs w:val="24"/>
          <w:lang w:eastAsia="it-IT"/>
        </w:rPr>
        <w:t>BRUFEN</w:t>
      </w:r>
      <w:r w:rsidR="000F7B7D" w:rsidRPr="002B766A">
        <w:rPr>
          <w:rFonts w:eastAsia="Calibri" w:cstheme="minorHAnsi"/>
          <w:sz w:val="24"/>
          <w:szCs w:val="24"/>
          <w:lang w:eastAsia="it-IT"/>
        </w:rPr>
        <w:t>,</w:t>
      </w:r>
      <w:r w:rsidR="00DB7B9A" w:rsidRPr="002B766A">
        <w:rPr>
          <w:rFonts w:eastAsia="Calibri" w:cstheme="minorHAnsi"/>
          <w:sz w:val="24"/>
          <w:szCs w:val="24"/>
          <w:lang w:eastAsia="it-IT"/>
        </w:rPr>
        <w:t xml:space="preserve"> </w:t>
      </w:r>
      <w:r w:rsidR="0042214D" w:rsidRPr="002B766A">
        <w:rPr>
          <w:rFonts w:eastAsia="Calibri" w:cstheme="minorHAnsi"/>
          <w:sz w:val="24"/>
          <w:szCs w:val="24"/>
          <w:lang w:eastAsia="it-IT"/>
        </w:rPr>
        <w:t>aut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0B251B" w:rsidRPr="002B766A">
        <w:rPr>
          <w:rFonts w:eastAsia="Calibri" w:cstheme="minorHAnsi"/>
          <w:sz w:val="24"/>
          <w:szCs w:val="24"/>
          <w:lang w:eastAsia="it-IT"/>
        </w:rPr>
        <w:t>8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anni.</w:t>
      </w:r>
    </w:p>
    <w:p w14:paraId="6618A34B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84E19D9" w14:textId="0727D936" w:rsidR="000F7B7D" w:rsidRPr="002B766A" w:rsidRDefault="00EC116F" w:rsidP="002B76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4E5A39" w:rsidRPr="002B766A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2B766A">
        <w:rPr>
          <w:rFonts w:cstheme="minorHAnsi"/>
          <w:sz w:val="24"/>
          <w:szCs w:val="24"/>
        </w:rPr>
        <w:t>il cui c</w:t>
      </w:r>
      <w:r w:rsidR="004E5A39" w:rsidRPr="002B766A">
        <w:rPr>
          <w:rFonts w:cstheme="minorHAnsi"/>
          <w:iCs/>
          <w:sz w:val="24"/>
          <w:szCs w:val="24"/>
        </w:rPr>
        <w:t xml:space="preserve">odice ATC è </w:t>
      </w:r>
      <w:r w:rsidR="00A548CD" w:rsidRPr="002B766A">
        <w:rPr>
          <w:rFonts w:cstheme="minorHAnsi"/>
          <w:sz w:val="24"/>
          <w:szCs w:val="24"/>
        </w:rPr>
        <w:t>M01AE01</w:t>
      </w:r>
      <w:r w:rsidR="004E5A39" w:rsidRPr="002B766A">
        <w:rPr>
          <w:rFonts w:eastAsia="DejaVuSans" w:cstheme="minorHAnsi"/>
          <w:sz w:val="24"/>
          <w:szCs w:val="24"/>
        </w:rPr>
        <w:t>,</w:t>
      </w:r>
      <w:r w:rsidR="004E5A39" w:rsidRPr="002B766A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2B766A">
        <w:rPr>
          <w:rFonts w:eastAsia="Calibri" w:cstheme="minorHAnsi"/>
          <w:sz w:val="24"/>
          <w:szCs w:val="24"/>
          <w:lang w:eastAsia="it-IT"/>
        </w:rPr>
        <w:t>il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2B766A">
        <w:rPr>
          <w:rFonts w:eastAsia="Calibri" w:cstheme="minorHAnsi"/>
          <w:sz w:val="24"/>
          <w:szCs w:val="24"/>
          <w:lang w:eastAsia="it-IT"/>
        </w:rPr>
        <w:t>o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2B766A">
        <w:rPr>
          <w:rFonts w:eastAsia="Calibri" w:cstheme="minorHAnsi"/>
          <w:sz w:val="24"/>
          <w:szCs w:val="24"/>
          <w:lang w:eastAsia="it-IT"/>
        </w:rPr>
        <w:t>o</w:t>
      </w:r>
      <w:r w:rsidR="004E5A39" w:rsidRPr="002B766A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48CD" w:rsidRPr="002B766A">
        <w:rPr>
          <w:rFonts w:eastAsia="Calibri" w:cstheme="minorHAnsi"/>
          <w:sz w:val="24"/>
          <w:szCs w:val="24"/>
          <w:lang w:eastAsia="it-IT"/>
        </w:rPr>
        <w:t>ibuprofene</w:t>
      </w:r>
      <w:r w:rsidR="000F7B7D" w:rsidRPr="002B766A">
        <w:rPr>
          <w:rFonts w:eastAsia="Calibri" w:cstheme="minorHAnsi"/>
          <w:bCs/>
          <w:sz w:val="24"/>
          <w:szCs w:val="24"/>
          <w:lang w:eastAsia="it-IT"/>
        </w:rPr>
        <w:t>.</w:t>
      </w:r>
      <w:r w:rsidR="00B1186F" w:rsidRPr="002B766A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0F7B7D" w:rsidRPr="002B766A">
        <w:rPr>
          <w:rFonts w:eastAsia="Calibri" w:cstheme="minorHAnsi"/>
          <w:bCs/>
          <w:sz w:val="24"/>
          <w:szCs w:val="24"/>
          <w:lang w:eastAsia="it-IT"/>
        </w:rPr>
        <w:t>Ibuprofene è un farmaco antinfiammatorio non steroideo (FANS) che nei modelli convenzionali di infiammazione nella sperimentazione animale ha dimostrato di essere efficace attraverso l'inibizione della sintesi della prostaglandina. Nell'uomo, ibuprofene riduce il dolore e gonfiore correlato all'infiammazione e la febbre. Inoltre, ibuprofene inibisce in modo reversibile l'aggregazione piastrinica indotta da ADP e collagene.</w:t>
      </w:r>
    </w:p>
    <w:p w14:paraId="14F19B4D" w14:textId="77777777" w:rsidR="000F7B7D" w:rsidRPr="002B766A" w:rsidRDefault="000F7B7D" w:rsidP="002B76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</w:p>
    <w:p w14:paraId="177EDBD8" w14:textId="1EC4A5F1" w:rsidR="000F7B7D" w:rsidRPr="002B766A" w:rsidRDefault="00EC116F" w:rsidP="002B766A">
      <w:pPr>
        <w:tabs>
          <w:tab w:val="left" w:pos="567"/>
        </w:tabs>
        <w:ind w:left="567" w:hanging="567"/>
        <w:jc w:val="both"/>
        <w:rPr>
          <w:rFonts w:cstheme="minorHAnsi"/>
          <w:sz w:val="24"/>
          <w:szCs w:val="24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2B766A">
        <w:rPr>
          <w:rFonts w:cstheme="minorHAnsi"/>
          <w:sz w:val="24"/>
          <w:szCs w:val="24"/>
        </w:rPr>
        <w:t xml:space="preserve">è utilizzato </w:t>
      </w:r>
      <w:r w:rsidR="000F7B7D" w:rsidRPr="002B766A">
        <w:rPr>
          <w:rFonts w:cstheme="minorHAnsi"/>
          <w:sz w:val="24"/>
          <w:szCs w:val="24"/>
        </w:rPr>
        <w:t xml:space="preserve">per: </w:t>
      </w:r>
    </w:p>
    <w:p w14:paraId="23AE0DC0" w14:textId="77777777" w:rsidR="000F7B7D" w:rsidRPr="002B766A" w:rsidRDefault="000F7B7D" w:rsidP="002B766A">
      <w:pPr>
        <w:tabs>
          <w:tab w:val="left" w:pos="567"/>
        </w:tabs>
        <w:ind w:left="567" w:hanging="567"/>
        <w:jc w:val="both"/>
        <w:rPr>
          <w:rFonts w:cstheme="minorHAnsi"/>
          <w:sz w:val="24"/>
          <w:szCs w:val="24"/>
          <w:bdr w:val="nil"/>
        </w:rPr>
      </w:pPr>
      <w:r w:rsidRPr="002B766A">
        <w:rPr>
          <w:rFonts w:cstheme="minorHAnsi"/>
          <w:sz w:val="24"/>
          <w:szCs w:val="24"/>
          <w:bdr w:val="nil"/>
        </w:rPr>
        <w:t>- Trattamento sintomatico del dolore da lieve a moderato e/o antipiretico.</w:t>
      </w:r>
    </w:p>
    <w:p w14:paraId="299C8D96" w14:textId="02E793B7" w:rsidR="00265B61" w:rsidRPr="002B766A" w:rsidRDefault="000F7B7D" w:rsidP="002B766A">
      <w:pPr>
        <w:ind w:left="142" w:hanging="142"/>
        <w:jc w:val="both"/>
        <w:rPr>
          <w:rFonts w:cstheme="minorHAnsi"/>
          <w:i/>
          <w:sz w:val="24"/>
          <w:szCs w:val="24"/>
        </w:rPr>
      </w:pPr>
      <w:r w:rsidRPr="002B766A">
        <w:rPr>
          <w:rFonts w:cstheme="minorHAnsi"/>
          <w:sz w:val="24"/>
          <w:szCs w:val="24"/>
          <w:bdr w:val="nil"/>
        </w:rPr>
        <w:t>- Trattamento sintomatico del dolore e infiammazione nelle malattie artritiche (ad es. artrite reumatoide), condizioni artritiche degenerative (ad es. osteoartrite) e nel gonfiore doloroso e infiammazione in seguito a lesioni del tessuto molle.</w:t>
      </w:r>
    </w:p>
    <w:p w14:paraId="75F06A69" w14:textId="77777777" w:rsidR="00265B61" w:rsidRPr="002B766A" w:rsidRDefault="00265B61" w:rsidP="002B76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32F43D2" w14:textId="54EA5FF9" w:rsidR="0042214D" w:rsidRPr="002B766A" w:rsidRDefault="0042214D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del medicinale test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e quelli del medicinale di riferimento </w:t>
      </w:r>
      <w:r w:rsidR="00760565" w:rsidRPr="002B766A">
        <w:rPr>
          <w:rFonts w:cstheme="minorHAnsi"/>
          <w:sz w:val="24"/>
          <w:szCs w:val="24"/>
        </w:rPr>
        <w:t>BRUFEN</w:t>
      </w:r>
      <w:r w:rsidR="000F7B7D" w:rsidRPr="002B766A">
        <w:rPr>
          <w:rFonts w:cstheme="minorHAnsi"/>
          <w:sz w:val="24"/>
          <w:szCs w:val="24"/>
        </w:rPr>
        <w:t>,</w:t>
      </w:r>
      <w:r w:rsidRPr="002B766A">
        <w:rPr>
          <w:rFonts w:cstheme="minorHAnsi"/>
          <w:sz w:val="24"/>
          <w:szCs w:val="24"/>
        </w:rPr>
        <w:t xml:space="preserve"> autorizzato in Italia.</w:t>
      </w:r>
    </w:p>
    <w:p w14:paraId="67498490" w14:textId="77777777" w:rsidR="0042214D" w:rsidRPr="002B766A" w:rsidRDefault="0042214D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Lo studio di bioequivalenza è stato condotto in conformità alle linee guida di Buona Pratica Clinica (</w:t>
      </w:r>
      <w:r w:rsidRPr="002B766A">
        <w:rPr>
          <w:rFonts w:cstheme="minorHAnsi"/>
          <w:i/>
          <w:sz w:val="24"/>
          <w:szCs w:val="24"/>
        </w:rPr>
        <w:t>Good Clinical Practice</w:t>
      </w:r>
      <w:r w:rsidRPr="002B766A">
        <w:rPr>
          <w:rFonts w:cstheme="minorHAnsi"/>
          <w:sz w:val="24"/>
          <w:szCs w:val="24"/>
        </w:rPr>
        <w:t xml:space="preserve"> - GCP)&gt;.</w:t>
      </w:r>
    </w:p>
    <w:p w14:paraId="0A6F67C6" w14:textId="77777777" w:rsidR="00CC52A3" w:rsidRPr="002B766A" w:rsidRDefault="00CC52A3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ECDA23" w14:textId="4A4B1B6E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2B766A">
        <w:rPr>
          <w:rFonts w:cstheme="minorHAnsi"/>
          <w:i/>
          <w:sz w:val="24"/>
          <w:szCs w:val="24"/>
        </w:rPr>
        <w:t>Good Manufacturing Practice</w:t>
      </w:r>
      <w:r w:rsidRPr="002B766A">
        <w:rPr>
          <w:rFonts w:cstheme="minorHAnsi"/>
          <w:sz w:val="24"/>
          <w:szCs w:val="24"/>
        </w:rPr>
        <w:t xml:space="preserve"> - GMP). </w:t>
      </w:r>
    </w:p>
    <w:p w14:paraId="0F796E4C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0891D92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 w:rsidRPr="002B766A">
        <w:rPr>
          <w:rFonts w:cstheme="minorHAnsi"/>
          <w:i/>
          <w:sz w:val="24"/>
          <w:szCs w:val="24"/>
        </w:rPr>
        <w:t>Risk Management Plan</w:t>
      </w:r>
      <w:r w:rsidRPr="002B766A">
        <w:rPr>
          <w:rFonts w:cstheme="minorHAnsi"/>
          <w:sz w:val="24"/>
          <w:szCs w:val="24"/>
        </w:rPr>
        <w:t xml:space="preserve"> – RMP) accettabile.</w:t>
      </w:r>
    </w:p>
    <w:p w14:paraId="67403A36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061118" w14:textId="3E70A940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contiene </w:t>
      </w:r>
      <w:r w:rsidR="00265B61" w:rsidRPr="002B766A">
        <w:rPr>
          <w:rFonts w:cstheme="minorHAnsi"/>
          <w:sz w:val="24"/>
          <w:szCs w:val="24"/>
        </w:rPr>
        <w:t xml:space="preserve">un </w:t>
      </w:r>
      <w:r w:rsidRPr="002B766A">
        <w:rPr>
          <w:rFonts w:cstheme="minorHAnsi"/>
          <w:sz w:val="24"/>
          <w:szCs w:val="24"/>
        </w:rPr>
        <w:t>principi</w:t>
      </w:r>
      <w:r w:rsidR="00265B61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attiv</w:t>
      </w:r>
      <w:r w:rsidR="00265B61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not</w:t>
      </w:r>
      <w:r w:rsidR="00265B61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present</w:t>
      </w:r>
      <w:r w:rsidR="00265B61" w:rsidRPr="002B766A">
        <w:rPr>
          <w:rFonts w:cstheme="minorHAnsi"/>
          <w:sz w:val="24"/>
          <w:szCs w:val="24"/>
        </w:rPr>
        <w:t>e</w:t>
      </w:r>
      <w:r w:rsidRPr="002B766A">
        <w:rPr>
          <w:rFonts w:cstheme="minorHAnsi"/>
          <w:sz w:val="24"/>
          <w:szCs w:val="24"/>
        </w:rPr>
        <w:t xml:space="preserve"> in medicinali autorizzati; inoltre, non sono presenti componenti geneticamente </w:t>
      </w:r>
      <w:r w:rsidRPr="002B766A">
        <w:rPr>
          <w:rFonts w:cstheme="minorHAnsi"/>
          <w:sz w:val="24"/>
          <w:szCs w:val="24"/>
        </w:rPr>
        <w:lastRenderedPageBreak/>
        <w:t>modificati; il metodo di produzione e la formulazione del medicinale non presentano problematiche di carattere ambientale.</w:t>
      </w:r>
    </w:p>
    <w:p w14:paraId="51CA99A3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474ECD6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AEB9C9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ASPETTI DI QUALITA’</w:t>
      </w:r>
    </w:p>
    <w:p w14:paraId="79A486A0" w14:textId="35DA7E76" w:rsidR="002B766A" w:rsidRDefault="002B766A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A324F62" w14:textId="77777777" w:rsidR="002B766A" w:rsidRDefault="002B766A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A515F" w14:textId="2B5BBE69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 xml:space="preserve">II.1 PRINCIPIO ATTIVO </w:t>
      </w:r>
      <w:r w:rsidR="00182B11" w:rsidRPr="002B766A">
        <w:rPr>
          <w:rFonts w:cstheme="minorHAnsi"/>
          <w:b/>
          <w:sz w:val="24"/>
          <w:szCs w:val="24"/>
        </w:rPr>
        <w:t>IBUPROFENE</w:t>
      </w:r>
    </w:p>
    <w:p w14:paraId="02B0A55F" w14:textId="77777777" w:rsidR="00182B11" w:rsidRPr="002B766A" w:rsidRDefault="004E5A39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u w:val="single"/>
        </w:rPr>
        <w:t>Nome chimico</w:t>
      </w:r>
      <w:r w:rsidR="000E4494" w:rsidRPr="002B766A">
        <w:rPr>
          <w:rFonts w:cstheme="minorHAnsi"/>
          <w:i/>
          <w:iCs/>
          <w:sz w:val="24"/>
          <w:szCs w:val="24"/>
        </w:rPr>
        <w:t xml:space="preserve"> </w:t>
      </w:r>
      <w:r w:rsidR="00182B11" w:rsidRPr="002B766A">
        <w:rPr>
          <w:rFonts w:cstheme="minorHAnsi"/>
          <w:sz w:val="24"/>
          <w:szCs w:val="24"/>
        </w:rPr>
        <w:t xml:space="preserve">(RS)-2-(4-isobutylphenyl) </w:t>
      </w:r>
      <w:proofErr w:type="spellStart"/>
      <w:r w:rsidR="00182B11" w:rsidRPr="002B766A">
        <w:rPr>
          <w:rFonts w:cstheme="minorHAnsi"/>
          <w:sz w:val="24"/>
          <w:szCs w:val="24"/>
        </w:rPr>
        <w:t>propionic</w:t>
      </w:r>
      <w:proofErr w:type="spellEnd"/>
      <w:r w:rsidR="00182B11" w:rsidRPr="002B766A">
        <w:rPr>
          <w:rFonts w:cstheme="minorHAnsi"/>
          <w:sz w:val="24"/>
          <w:szCs w:val="24"/>
        </w:rPr>
        <w:t xml:space="preserve"> acid</w:t>
      </w:r>
    </w:p>
    <w:p w14:paraId="4DC4EABA" w14:textId="77777777" w:rsidR="00182B11" w:rsidRPr="002B766A" w:rsidRDefault="00182B11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6DCAC6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u w:val="single"/>
        </w:rPr>
        <w:t>Struttura</w:t>
      </w:r>
      <w:r w:rsidRPr="002B766A">
        <w:rPr>
          <w:rFonts w:cstheme="minorHAnsi"/>
          <w:sz w:val="24"/>
          <w:szCs w:val="24"/>
        </w:rPr>
        <w:t>:</w:t>
      </w:r>
    </w:p>
    <w:p w14:paraId="0D08D950" w14:textId="77777777" w:rsidR="004E5A39" w:rsidRPr="002B766A" w:rsidRDefault="00BF160D" w:rsidP="002B766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2B766A">
        <w:rPr>
          <w:rFonts w:cstheme="minorHAnsi"/>
          <w:i/>
          <w:noProof/>
          <w:sz w:val="24"/>
          <w:szCs w:val="24"/>
          <w:lang w:eastAsia="it-IT"/>
        </w:rPr>
        <w:drawing>
          <wp:inline distT="0" distB="0" distL="0" distR="0" wp14:anchorId="032CEA6B" wp14:editId="6D29C0E4">
            <wp:extent cx="2332990" cy="8305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57B33" w14:textId="77777777" w:rsidR="004E5A39" w:rsidRPr="002B766A" w:rsidRDefault="004E5A39" w:rsidP="002B766A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  <w:lang w:eastAsia="pt-PT"/>
        </w:rPr>
      </w:pPr>
      <w:r w:rsidRPr="002B766A">
        <w:rPr>
          <w:rFonts w:cstheme="minorHAnsi"/>
          <w:sz w:val="24"/>
          <w:szCs w:val="24"/>
          <w:u w:val="single"/>
        </w:rPr>
        <w:t>Formula molecolare</w:t>
      </w:r>
      <w:r w:rsidRPr="002B766A">
        <w:rPr>
          <w:rFonts w:cstheme="minorHAnsi"/>
          <w:sz w:val="24"/>
          <w:szCs w:val="24"/>
        </w:rPr>
        <w:t>:</w:t>
      </w:r>
      <w:r w:rsidRPr="002B766A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BF160D" w:rsidRPr="002B766A">
        <w:rPr>
          <w:rFonts w:cstheme="minorHAnsi"/>
          <w:sz w:val="24"/>
          <w:szCs w:val="24"/>
          <w:lang w:eastAsia="pt-PT"/>
        </w:rPr>
        <w:t>C</w:t>
      </w:r>
      <w:r w:rsidR="00BF160D" w:rsidRPr="002B766A">
        <w:rPr>
          <w:rFonts w:cstheme="minorHAnsi"/>
          <w:sz w:val="24"/>
          <w:szCs w:val="24"/>
          <w:vertAlign w:val="subscript"/>
          <w:lang w:eastAsia="pt-PT"/>
        </w:rPr>
        <w:t>13</w:t>
      </w:r>
      <w:r w:rsidR="00BF160D" w:rsidRPr="002B766A">
        <w:rPr>
          <w:rFonts w:cstheme="minorHAnsi"/>
          <w:sz w:val="24"/>
          <w:szCs w:val="24"/>
          <w:lang w:eastAsia="pt-PT"/>
        </w:rPr>
        <w:t>H</w:t>
      </w:r>
      <w:r w:rsidR="00BF160D" w:rsidRPr="002B766A">
        <w:rPr>
          <w:rFonts w:cstheme="minorHAnsi"/>
          <w:sz w:val="24"/>
          <w:szCs w:val="24"/>
          <w:vertAlign w:val="subscript"/>
          <w:lang w:eastAsia="pt-PT"/>
        </w:rPr>
        <w:t>18</w:t>
      </w:r>
      <w:r w:rsidR="00BF160D" w:rsidRPr="002B766A">
        <w:rPr>
          <w:rFonts w:cstheme="minorHAnsi"/>
          <w:sz w:val="24"/>
          <w:szCs w:val="24"/>
          <w:lang w:eastAsia="pt-PT"/>
        </w:rPr>
        <w:t>O</w:t>
      </w:r>
      <w:r w:rsidR="00BF160D" w:rsidRPr="002B766A">
        <w:rPr>
          <w:rFonts w:cstheme="minorHAnsi"/>
          <w:sz w:val="24"/>
          <w:szCs w:val="24"/>
          <w:vertAlign w:val="subscript"/>
          <w:lang w:eastAsia="pt-PT"/>
        </w:rPr>
        <w:t>2</w:t>
      </w:r>
    </w:p>
    <w:p w14:paraId="46D422A7" w14:textId="77777777" w:rsidR="004E5A39" w:rsidRPr="002B766A" w:rsidRDefault="004E5A39" w:rsidP="002B766A">
      <w:pPr>
        <w:ind w:right="571"/>
        <w:jc w:val="both"/>
        <w:rPr>
          <w:rFonts w:cstheme="minorHAnsi"/>
          <w:sz w:val="24"/>
          <w:szCs w:val="24"/>
          <w:lang w:eastAsia="pt-PT"/>
        </w:rPr>
      </w:pPr>
      <w:r w:rsidRPr="002B766A">
        <w:rPr>
          <w:rFonts w:cstheme="minorHAnsi"/>
          <w:sz w:val="24"/>
          <w:szCs w:val="24"/>
          <w:u w:val="single"/>
        </w:rPr>
        <w:t>Peso molecolare</w:t>
      </w:r>
      <w:r w:rsidRPr="002B766A">
        <w:rPr>
          <w:rFonts w:cstheme="minorHAnsi"/>
          <w:sz w:val="24"/>
          <w:szCs w:val="24"/>
        </w:rPr>
        <w:t>:</w:t>
      </w:r>
      <w:r w:rsidRPr="002B766A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8D5C67" w:rsidRPr="002B766A">
        <w:rPr>
          <w:rFonts w:cstheme="minorHAnsi"/>
          <w:sz w:val="24"/>
          <w:szCs w:val="24"/>
          <w:lang w:eastAsia="pt-PT"/>
        </w:rPr>
        <w:t>206.3</w:t>
      </w:r>
      <w:r w:rsidR="009A23DE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53423350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u w:val="single"/>
        </w:rPr>
        <w:t>CAS</w:t>
      </w:r>
      <w:r w:rsidRPr="002B766A">
        <w:rPr>
          <w:rFonts w:cstheme="minorHAnsi"/>
          <w:sz w:val="24"/>
          <w:szCs w:val="24"/>
        </w:rPr>
        <w:t xml:space="preserve">: </w:t>
      </w:r>
      <w:r w:rsidR="00CC52A3" w:rsidRPr="002B766A">
        <w:rPr>
          <w:rFonts w:cstheme="minorHAnsi"/>
          <w:sz w:val="24"/>
          <w:szCs w:val="24"/>
        </w:rPr>
        <w:t>[</w:t>
      </w:r>
      <w:r w:rsidR="00C254D2" w:rsidRPr="002B766A">
        <w:rPr>
          <w:rFonts w:cstheme="minorHAnsi"/>
          <w:sz w:val="24"/>
          <w:szCs w:val="24"/>
        </w:rPr>
        <w:t>15687-27-1</w:t>
      </w:r>
      <w:r w:rsidR="00CC52A3" w:rsidRPr="002B766A">
        <w:rPr>
          <w:rFonts w:cstheme="minorHAnsi"/>
          <w:sz w:val="24"/>
          <w:szCs w:val="24"/>
        </w:rPr>
        <w:t>]</w:t>
      </w:r>
    </w:p>
    <w:p w14:paraId="2DB76B51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u w:val="single"/>
        </w:rPr>
        <w:t>Aspetto</w:t>
      </w:r>
      <w:r w:rsidRPr="002B766A">
        <w:rPr>
          <w:rFonts w:cstheme="minorHAnsi"/>
          <w:sz w:val="24"/>
          <w:szCs w:val="24"/>
        </w:rPr>
        <w:t xml:space="preserve">: </w:t>
      </w:r>
      <w:r w:rsidR="00C254D2" w:rsidRPr="002B766A">
        <w:rPr>
          <w:rFonts w:cstheme="minorHAnsi"/>
          <w:sz w:val="24"/>
          <w:szCs w:val="24"/>
        </w:rPr>
        <w:t>Polvere bianca cristallina o cristalli incolori</w:t>
      </w:r>
    </w:p>
    <w:p w14:paraId="709CC170" w14:textId="77777777" w:rsidR="004E5A39" w:rsidRPr="002B766A" w:rsidRDefault="004E5A39" w:rsidP="002B766A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u w:val="single"/>
        </w:rPr>
        <w:t>Solubilità</w:t>
      </w:r>
      <w:r w:rsidRPr="002B766A">
        <w:rPr>
          <w:rFonts w:cstheme="minorHAnsi"/>
          <w:sz w:val="24"/>
          <w:szCs w:val="24"/>
        </w:rPr>
        <w:t xml:space="preserve">: </w:t>
      </w:r>
      <w:r w:rsidR="00D721F3" w:rsidRPr="002B766A">
        <w:rPr>
          <w:rFonts w:cstheme="minorHAnsi"/>
          <w:sz w:val="24"/>
          <w:szCs w:val="24"/>
        </w:rPr>
        <w:t>Praticamente insolubile in acqua, facilmente solubile in acetone, metanolo e cloruro di metilene. Si scioglie in idrossido diluito e carbonato alcalino.</w:t>
      </w:r>
    </w:p>
    <w:p w14:paraId="48B5DCAC" w14:textId="77777777" w:rsidR="00D721F3" w:rsidRPr="002B766A" w:rsidRDefault="00D721F3" w:rsidP="002B766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3DF9D69" w14:textId="77777777" w:rsidR="000B7AC8" w:rsidRPr="002B766A" w:rsidRDefault="000B7AC8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2B766A">
        <w:rPr>
          <w:rFonts w:cstheme="minorHAnsi"/>
          <w:i/>
          <w:sz w:val="24"/>
          <w:szCs w:val="24"/>
        </w:rPr>
        <w:t>European</w:t>
      </w:r>
      <w:proofErr w:type="spellEnd"/>
      <w:r w:rsidRPr="002B766A">
        <w:rPr>
          <w:rFonts w:cstheme="minorHAnsi"/>
          <w:i/>
          <w:sz w:val="24"/>
          <w:szCs w:val="24"/>
        </w:rPr>
        <w:t xml:space="preserve"> </w:t>
      </w:r>
      <w:proofErr w:type="spellStart"/>
      <w:r w:rsidRPr="002B766A">
        <w:rPr>
          <w:rFonts w:cstheme="minorHAnsi"/>
          <w:i/>
          <w:sz w:val="24"/>
          <w:szCs w:val="24"/>
        </w:rPr>
        <w:t>Directorate</w:t>
      </w:r>
      <w:proofErr w:type="spellEnd"/>
      <w:r w:rsidRPr="002B766A">
        <w:rPr>
          <w:rFonts w:cstheme="minorHAnsi"/>
          <w:i/>
          <w:sz w:val="24"/>
          <w:szCs w:val="24"/>
        </w:rPr>
        <w:t xml:space="preserve"> for </w:t>
      </w:r>
      <w:proofErr w:type="spellStart"/>
      <w:r w:rsidRPr="002B766A">
        <w:rPr>
          <w:rFonts w:cstheme="minorHAnsi"/>
          <w:i/>
          <w:sz w:val="24"/>
          <w:szCs w:val="24"/>
        </w:rPr>
        <w:t>Quality</w:t>
      </w:r>
      <w:proofErr w:type="spellEnd"/>
      <w:r w:rsidRPr="002B766A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2B766A">
        <w:rPr>
          <w:rFonts w:cstheme="minorHAnsi"/>
          <w:i/>
          <w:sz w:val="24"/>
          <w:szCs w:val="24"/>
        </w:rPr>
        <w:t>Medicnals</w:t>
      </w:r>
      <w:proofErr w:type="spellEnd"/>
      <w:r w:rsidRPr="002B766A">
        <w:rPr>
          <w:rFonts w:cstheme="minorHAnsi"/>
          <w:sz w:val="24"/>
          <w:szCs w:val="24"/>
        </w:rPr>
        <w:t xml:space="preserve"> – EDQM) ha rilasciato a</w:t>
      </w:r>
      <w:r w:rsidR="00D721F3" w:rsidRPr="002B766A">
        <w:rPr>
          <w:rFonts w:cstheme="minorHAnsi"/>
          <w:sz w:val="24"/>
          <w:szCs w:val="24"/>
        </w:rPr>
        <w:t>i due</w:t>
      </w:r>
      <w:r w:rsidRPr="002B766A">
        <w:rPr>
          <w:rFonts w:cstheme="minorHAnsi"/>
          <w:sz w:val="24"/>
          <w:szCs w:val="24"/>
        </w:rPr>
        <w:t xml:space="preserve"> produttor</w:t>
      </w:r>
      <w:r w:rsidR="00D721F3" w:rsidRPr="002B766A">
        <w:rPr>
          <w:rFonts w:cstheme="minorHAnsi"/>
          <w:sz w:val="24"/>
          <w:szCs w:val="24"/>
        </w:rPr>
        <w:t>i</w:t>
      </w:r>
      <w:r w:rsidRPr="002B766A">
        <w:rPr>
          <w:rFonts w:cstheme="minorHAnsi"/>
          <w:sz w:val="24"/>
          <w:szCs w:val="24"/>
        </w:rPr>
        <w:t xml:space="preserve"> il certificato di conformità alla Farmacopea Europea.</w:t>
      </w:r>
    </w:p>
    <w:p w14:paraId="34A68057" w14:textId="77777777" w:rsidR="00D721F3" w:rsidRPr="002B766A" w:rsidRDefault="000B7AC8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Il periodo di </w:t>
      </w:r>
      <w:proofErr w:type="spellStart"/>
      <w:r w:rsidRPr="002B766A">
        <w:rPr>
          <w:rFonts w:cstheme="minorHAnsi"/>
          <w:sz w:val="24"/>
          <w:szCs w:val="24"/>
        </w:rPr>
        <w:t>retest</w:t>
      </w:r>
      <w:proofErr w:type="spellEnd"/>
      <w:r w:rsidRPr="002B766A">
        <w:rPr>
          <w:rFonts w:cstheme="minorHAnsi"/>
          <w:sz w:val="24"/>
          <w:szCs w:val="24"/>
        </w:rPr>
        <w:t xml:space="preserve"> è definito </w:t>
      </w:r>
      <w:r w:rsidR="00D721F3" w:rsidRPr="002B766A">
        <w:rPr>
          <w:rFonts w:cstheme="minorHAnsi"/>
          <w:sz w:val="24"/>
          <w:szCs w:val="24"/>
        </w:rPr>
        <w:t xml:space="preserve">per il principio attivo ibuprofene di un produttore </w:t>
      </w:r>
      <w:r w:rsidRPr="002B766A">
        <w:rPr>
          <w:rFonts w:cstheme="minorHAnsi"/>
          <w:sz w:val="24"/>
          <w:szCs w:val="24"/>
        </w:rPr>
        <w:t xml:space="preserve">in </w:t>
      </w:r>
      <w:r w:rsidR="00D721F3" w:rsidRPr="002B766A">
        <w:rPr>
          <w:rFonts w:cstheme="minorHAnsi"/>
          <w:sz w:val="24"/>
          <w:szCs w:val="24"/>
        </w:rPr>
        <w:t>5 anni</w:t>
      </w:r>
      <w:r w:rsidRPr="002B766A">
        <w:rPr>
          <w:rFonts w:cstheme="minorHAnsi"/>
          <w:sz w:val="24"/>
          <w:szCs w:val="24"/>
        </w:rPr>
        <w:t>, quando confezionato in</w:t>
      </w:r>
      <w:r w:rsidR="00D721F3" w:rsidRPr="002B766A">
        <w:rPr>
          <w:rFonts w:cstheme="minorHAnsi"/>
          <w:sz w:val="24"/>
          <w:szCs w:val="24"/>
        </w:rPr>
        <w:t xml:space="preserve"> sacchi doppi di polietilene, posti in un tamburo di polietilene o in un tamburo di fibra o in una scatola di cartone o in un contenitore flessibile di bulk intermedio.</w:t>
      </w:r>
    </w:p>
    <w:p w14:paraId="7296501C" w14:textId="77777777" w:rsidR="00B30431" w:rsidRPr="002B766A" w:rsidRDefault="00D721F3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Il periodo di </w:t>
      </w:r>
      <w:proofErr w:type="spellStart"/>
      <w:r w:rsidRPr="002B766A">
        <w:rPr>
          <w:rFonts w:cstheme="minorHAnsi"/>
          <w:sz w:val="24"/>
          <w:szCs w:val="24"/>
        </w:rPr>
        <w:t>retest</w:t>
      </w:r>
      <w:proofErr w:type="spellEnd"/>
      <w:r w:rsidRPr="002B766A">
        <w:rPr>
          <w:rFonts w:cstheme="minorHAnsi"/>
          <w:sz w:val="24"/>
          <w:szCs w:val="24"/>
        </w:rPr>
        <w:t xml:space="preserve"> è definito per il principio attivo ibuprofene d</w:t>
      </w:r>
      <w:r w:rsidR="00695307" w:rsidRPr="002B766A">
        <w:rPr>
          <w:rFonts w:cstheme="minorHAnsi"/>
          <w:sz w:val="24"/>
          <w:szCs w:val="24"/>
        </w:rPr>
        <w:t xml:space="preserve">ell’altro </w:t>
      </w:r>
      <w:r w:rsidRPr="002B766A">
        <w:rPr>
          <w:rFonts w:cstheme="minorHAnsi"/>
          <w:sz w:val="24"/>
          <w:szCs w:val="24"/>
        </w:rPr>
        <w:t xml:space="preserve">produttore in </w:t>
      </w:r>
      <w:r w:rsidR="00695307" w:rsidRPr="002B766A">
        <w:rPr>
          <w:rFonts w:cstheme="minorHAnsi"/>
          <w:sz w:val="24"/>
          <w:szCs w:val="24"/>
        </w:rPr>
        <w:t>4</w:t>
      </w:r>
      <w:r w:rsidRPr="002B766A">
        <w:rPr>
          <w:rFonts w:cstheme="minorHAnsi"/>
          <w:sz w:val="24"/>
          <w:szCs w:val="24"/>
        </w:rPr>
        <w:t xml:space="preserve"> anni, quando confezionato</w:t>
      </w:r>
      <w:r w:rsidR="00695307" w:rsidRPr="002B766A">
        <w:rPr>
          <w:rFonts w:cstheme="minorHAnsi"/>
          <w:sz w:val="24"/>
          <w:szCs w:val="24"/>
        </w:rPr>
        <w:t xml:space="preserve"> in fusti di fibra con rivestimento in polietilene.</w:t>
      </w:r>
    </w:p>
    <w:p w14:paraId="0B8C3F75" w14:textId="208817A5" w:rsidR="000B7AC8" w:rsidRDefault="000B7AC8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FFDD53" w14:textId="77777777" w:rsidR="002B766A" w:rsidRP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6B1398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II.2 PRODOTTO FINITO</w:t>
      </w:r>
    </w:p>
    <w:p w14:paraId="67DC2EF8" w14:textId="77777777" w:rsidR="002B766A" w:rsidRDefault="002B766A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CDB6884" w14:textId="37CDA914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Descrizione e composizione</w:t>
      </w:r>
    </w:p>
    <w:p w14:paraId="58454F91" w14:textId="11176374" w:rsidR="00695307" w:rsidRPr="002B766A" w:rsidRDefault="00EC116F" w:rsidP="002B766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0B7AC8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in </w:t>
      </w:r>
      <w:r w:rsidR="00695307" w:rsidRPr="002B766A">
        <w:rPr>
          <w:rFonts w:eastAsia="Calibri" w:cstheme="minorHAnsi"/>
          <w:color w:val="000000"/>
          <w:sz w:val="24"/>
          <w:szCs w:val="24"/>
          <w:lang w:eastAsia="it-IT"/>
        </w:rPr>
        <w:t>compresse rivestite con film contenenti 400 mg di principio attivo.</w:t>
      </w:r>
    </w:p>
    <w:p w14:paraId="760A4FAE" w14:textId="77777777" w:rsidR="004E5A39" w:rsidRPr="002B766A" w:rsidRDefault="004E5A39" w:rsidP="002B766A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9FB688" w14:textId="77777777" w:rsidR="00695307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Gli eccipienti sono</w:t>
      </w:r>
      <w:r w:rsidR="00695307" w:rsidRPr="002B766A">
        <w:rPr>
          <w:rFonts w:cstheme="minorHAnsi"/>
          <w:sz w:val="24"/>
          <w:szCs w:val="24"/>
        </w:rPr>
        <w:t xml:space="preserve"> i seguenti:</w:t>
      </w:r>
    </w:p>
    <w:p w14:paraId="7E2A3DAB" w14:textId="77777777" w:rsidR="00695307" w:rsidRPr="002B766A" w:rsidRDefault="00695307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8CC727" w14:textId="77777777" w:rsidR="00695307" w:rsidRPr="002B766A" w:rsidRDefault="00695307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Nucleo della compressa: cellulosa microcristallina, </w:t>
      </w:r>
      <w:proofErr w:type="spellStart"/>
      <w:r w:rsidRPr="002B766A">
        <w:rPr>
          <w:rFonts w:cstheme="minorHAnsi"/>
          <w:sz w:val="24"/>
          <w:szCs w:val="24"/>
        </w:rPr>
        <w:t>croscarmellosa</w:t>
      </w:r>
      <w:proofErr w:type="spellEnd"/>
      <w:r w:rsidRPr="002B766A">
        <w:rPr>
          <w:rFonts w:cstheme="minorHAnsi"/>
          <w:sz w:val="24"/>
          <w:szCs w:val="24"/>
        </w:rPr>
        <w:t xml:space="preserve"> sodica, </w:t>
      </w:r>
      <w:proofErr w:type="spellStart"/>
      <w:r w:rsidRPr="002B766A">
        <w:rPr>
          <w:rFonts w:cstheme="minorHAnsi"/>
          <w:sz w:val="24"/>
          <w:szCs w:val="24"/>
        </w:rPr>
        <w:t>ipromellosa</w:t>
      </w:r>
      <w:proofErr w:type="spellEnd"/>
      <w:r w:rsidRPr="002B766A">
        <w:rPr>
          <w:rFonts w:cstheme="minorHAnsi"/>
          <w:sz w:val="24"/>
          <w:szCs w:val="24"/>
        </w:rPr>
        <w:t xml:space="preserve">, lattosio </w:t>
      </w:r>
      <w:proofErr w:type="spellStart"/>
      <w:r w:rsidRPr="002B766A">
        <w:rPr>
          <w:rFonts w:cstheme="minorHAnsi"/>
          <w:sz w:val="24"/>
          <w:szCs w:val="24"/>
        </w:rPr>
        <w:t>monidrato</w:t>
      </w:r>
      <w:proofErr w:type="spellEnd"/>
      <w:r w:rsidRPr="002B766A">
        <w:rPr>
          <w:rFonts w:cstheme="minorHAnsi"/>
          <w:sz w:val="24"/>
          <w:szCs w:val="24"/>
        </w:rPr>
        <w:t xml:space="preserve">, amido di mais </w:t>
      </w:r>
      <w:proofErr w:type="spellStart"/>
      <w:r w:rsidRPr="002B766A">
        <w:rPr>
          <w:rFonts w:cstheme="minorHAnsi"/>
          <w:sz w:val="24"/>
          <w:szCs w:val="24"/>
        </w:rPr>
        <w:t>pregelatinizzato</w:t>
      </w:r>
      <w:proofErr w:type="spellEnd"/>
      <w:r w:rsidRPr="002B766A">
        <w:rPr>
          <w:rFonts w:cstheme="minorHAnsi"/>
          <w:sz w:val="24"/>
          <w:szCs w:val="24"/>
        </w:rPr>
        <w:t>, magnesio stearato, silice colloidale anidra.</w:t>
      </w:r>
    </w:p>
    <w:p w14:paraId="74C0EAB9" w14:textId="77777777" w:rsidR="00695307" w:rsidRPr="002B766A" w:rsidRDefault="00695307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F9A6F5" w14:textId="77777777" w:rsidR="00695307" w:rsidRPr="002B766A" w:rsidRDefault="00695307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Film di rivestimento: </w:t>
      </w:r>
      <w:proofErr w:type="spellStart"/>
      <w:r w:rsidRPr="002B766A">
        <w:rPr>
          <w:rFonts w:cstheme="minorHAnsi"/>
          <w:sz w:val="24"/>
          <w:szCs w:val="24"/>
        </w:rPr>
        <w:t>ipromellosa</w:t>
      </w:r>
      <w:proofErr w:type="spellEnd"/>
      <w:r w:rsidRPr="002B766A">
        <w:rPr>
          <w:rFonts w:cstheme="minorHAnsi"/>
          <w:sz w:val="24"/>
          <w:szCs w:val="24"/>
        </w:rPr>
        <w:t xml:space="preserve">, biossido di titanio (E-171), talco, </w:t>
      </w:r>
      <w:proofErr w:type="spellStart"/>
      <w:r w:rsidRPr="002B766A">
        <w:rPr>
          <w:rFonts w:cstheme="minorHAnsi"/>
          <w:sz w:val="24"/>
          <w:szCs w:val="24"/>
        </w:rPr>
        <w:t>propilenglicole</w:t>
      </w:r>
      <w:proofErr w:type="spellEnd"/>
      <w:r w:rsidRPr="002B766A">
        <w:rPr>
          <w:rFonts w:cstheme="minorHAnsi"/>
          <w:sz w:val="24"/>
          <w:szCs w:val="24"/>
        </w:rPr>
        <w:t xml:space="preserve"> (E 1520).</w:t>
      </w:r>
    </w:p>
    <w:p w14:paraId="2F86C046" w14:textId="77777777" w:rsidR="00B30431" w:rsidRPr="002B766A" w:rsidRDefault="00B30431" w:rsidP="002B766A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F8B0AE7" w14:textId="77777777" w:rsidR="004E5A39" w:rsidRPr="002B766A" w:rsidRDefault="004E5A39" w:rsidP="002B766A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742E3913" w14:textId="77777777" w:rsidR="000808A3" w:rsidRPr="002B766A" w:rsidRDefault="000808A3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lastRenderedPageBreak/>
        <w:t>Il solo eccipiente di originale animale è il lattosio; è stata fornita una dichiarazione che nella sua produzione sono utilizzati animali sani della stessa qualità utilizzata per il consumo umano.</w:t>
      </w:r>
    </w:p>
    <w:p w14:paraId="2C508317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27C1E67E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B44125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Sviluppo farmaceutico</w:t>
      </w:r>
    </w:p>
    <w:p w14:paraId="22340C53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41C98480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Sono stati forniti dati comparativi relativi al profilo di impurezze rispetto al medicinale di riferimento</w:t>
      </w:r>
      <w:r w:rsidR="00B30431" w:rsidRPr="002B766A">
        <w:rPr>
          <w:rFonts w:eastAsia="Calibri" w:cstheme="minorHAnsi"/>
          <w:sz w:val="24"/>
          <w:szCs w:val="24"/>
          <w:lang w:eastAsia="it-IT"/>
        </w:rPr>
        <w:t xml:space="preserve"> </w:t>
      </w:r>
      <w:r w:rsidR="00EE4732" w:rsidRPr="002B766A">
        <w:rPr>
          <w:rFonts w:eastAsia="Calibri" w:cstheme="minorHAnsi"/>
          <w:sz w:val="24"/>
          <w:szCs w:val="24"/>
          <w:lang w:eastAsia="it-IT"/>
        </w:rPr>
        <w:t>BRUFEN.</w:t>
      </w:r>
      <w:r w:rsidRPr="002B766A">
        <w:rPr>
          <w:rFonts w:cstheme="minorHAnsi"/>
          <w:sz w:val="24"/>
          <w:szCs w:val="24"/>
        </w:rPr>
        <w:t xml:space="preserve"> I dati sono soddisfacenti.</w:t>
      </w:r>
    </w:p>
    <w:p w14:paraId="6AECECC0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43822E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 xml:space="preserve">Produzione </w:t>
      </w:r>
    </w:p>
    <w:p w14:paraId="1EE5DF14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73ABB6DD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D9329C2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5B97D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Specifiche del prodotto finito</w:t>
      </w:r>
    </w:p>
    <w:p w14:paraId="2399CB3A" w14:textId="74D0439D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2B766A">
        <w:rPr>
          <w:rFonts w:cstheme="minorHAnsi"/>
          <w:sz w:val="24"/>
          <w:szCs w:val="24"/>
        </w:rPr>
        <w:t>il</w:t>
      </w:r>
      <w:r w:rsidRPr="002B766A">
        <w:rPr>
          <w:rFonts w:cstheme="minorHAnsi"/>
          <w:sz w:val="24"/>
          <w:szCs w:val="24"/>
        </w:rPr>
        <w:t xml:space="preserve"> </w:t>
      </w:r>
      <w:r w:rsidR="000808A3" w:rsidRPr="002B766A">
        <w:rPr>
          <w:rFonts w:cstheme="minorHAnsi"/>
          <w:sz w:val="24"/>
          <w:szCs w:val="24"/>
        </w:rPr>
        <w:t>per i diversi dosaggi del prodott</w:t>
      </w:r>
      <w:r w:rsidR="003F6849" w:rsidRPr="002B766A">
        <w:rPr>
          <w:rFonts w:cstheme="minorHAnsi"/>
          <w:sz w:val="24"/>
          <w:szCs w:val="24"/>
        </w:rPr>
        <w:t>o</w:t>
      </w:r>
      <w:r w:rsidR="000808A3" w:rsidRPr="002B766A">
        <w:rPr>
          <w:rFonts w:cstheme="minorHAnsi"/>
          <w:sz w:val="24"/>
          <w:szCs w:val="24"/>
        </w:rPr>
        <w:t xml:space="preserve"> finito</w:t>
      </w:r>
      <w:r w:rsidRPr="002B766A">
        <w:rPr>
          <w:rFonts w:cstheme="minorHAnsi"/>
          <w:sz w:val="24"/>
          <w:szCs w:val="24"/>
        </w:rPr>
        <w:t>: questi dati dimostrano che i lotti prodotti sono in accordo alle specifiche proposte. Sono stati forniti, infine, certificati analitici per gli standard di riferimento utilizzati.</w:t>
      </w:r>
    </w:p>
    <w:p w14:paraId="5E16293D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338F9B5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Contenitore</w:t>
      </w:r>
    </w:p>
    <w:p w14:paraId="0BD0417D" w14:textId="494F1323" w:rsidR="00BA0ACD" w:rsidRPr="002B766A" w:rsidRDefault="00EC116F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2B766A">
        <w:rPr>
          <w:rFonts w:cstheme="minorHAnsi"/>
          <w:sz w:val="24"/>
          <w:szCs w:val="24"/>
        </w:rPr>
        <w:t>è confezionato i</w:t>
      </w:r>
      <w:r w:rsidR="00EE4732" w:rsidRPr="002B766A">
        <w:rPr>
          <w:rFonts w:cstheme="minorHAnsi"/>
          <w:sz w:val="24"/>
          <w:szCs w:val="24"/>
        </w:rPr>
        <w:t xml:space="preserve">n </w:t>
      </w:r>
      <w:r w:rsidR="000808A3" w:rsidRPr="002B766A">
        <w:rPr>
          <w:rFonts w:cstheme="minorHAnsi"/>
          <w:sz w:val="24"/>
          <w:szCs w:val="24"/>
        </w:rPr>
        <w:t xml:space="preserve">blister di </w:t>
      </w:r>
      <w:r w:rsidR="00ED4FB1" w:rsidRPr="002B766A">
        <w:rPr>
          <w:rFonts w:cstheme="minorHAnsi"/>
          <w:sz w:val="24"/>
          <w:szCs w:val="24"/>
        </w:rPr>
        <w:t>Al/PVC/PVDC.</w:t>
      </w:r>
    </w:p>
    <w:p w14:paraId="4F6D1CBF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Sono state fornite specifiche e certificati analitici per tutti i componenti del confezionamento primario, che è adeguato </w:t>
      </w:r>
      <w:proofErr w:type="gramStart"/>
      <w:r w:rsidRPr="002B766A">
        <w:rPr>
          <w:rFonts w:cstheme="minorHAnsi"/>
          <w:sz w:val="24"/>
          <w:szCs w:val="24"/>
        </w:rPr>
        <w:t>per il</w:t>
      </w:r>
      <w:proofErr w:type="gramEnd"/>
      <w:r w:rsidRPr="002B766A">
        <w:rPr>
          <w:rFonts w:cstheme="minorHAnsi"/>
          <w:sz w:val="24"/>
          <w:szCs w:val="24"/>
        </w:rPr>
        <w:t xml:space="preserve"> medicinale.</w:t>
      </w:r>
    </w:p>
    <w:p w14:paraId="27F4980A" w14:textId="77777777" w:rsidR="00BA0ACD" w:rsidRPr="002B766A" w:rsidRDefault="00BA0ACD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798A80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Stabilità</w:t>
      </w:r>
    </w:p>
    <w:p w14:paraId="6AC34CA7" w14:textId="77777777" w:rsidR="004E5A39" w:rsidRPr="002B766A" w:rsidRDefault="004E5A39" w:rsidP="002B766A">
      <w:pPr>
        <w:pStyle w:val="Corpotesto"/>
        <w:spacing w:before="181" w:line="256" w:lineRule="auto"/>
        <w:ind w:left="113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6471FE" w:rsidRPr="002B766A">
        <w:rPr>
          <w:rFonts w:cstheme="minorHAnsi"/>
          <w:sz w:val="24"/>
          <w:szCs w:val="24"/>
        </w:rPr>
        <w:t xml:space="preserve">5 </w:t>
      </w:r>
      <w:r w:rsidR="00265B61" w:rsidRPr="002B766A">
        <w:rPr>
          <w:rFonts w:cstheme="minorHAnsi"/>
          <w:sz w:val="24"/>
          <w:szCs w:val="24"/>
        </w:rPr>
        <w:t>anni</w:t>
      </w:r>
      <w:r w:rsidRPr="002B766A">
        <w:rPr>
          <w:rFonts w:cstheme="minorHAnsi"/>
          <w:sz w:val="24"/>
          <w:szCs w:val="24"/>
        </w:rPr>
        <w:t xml:space="preserve"> </w:t>
      </w:r>
      <w:r w:rsidR="000808A3" w:rsidRPr="002B766A">
        <w:rPr>
          <w:rFonts w:cstheme="minorHAnsi"/>
          <w:sz w:val="24"/>
          <w:szCs w:val="24"/>
        </w:rPr>
        <w:t xml:space="preserve">con conservazione a temperatura non superiore </w:t>
      </w:r>
      <w:r w:rsidR="006471FE" w:rsidRPr="002B766A">
        <w:rPr>
          <w:rFonts w:cstheme="minorHAnsi"/>
          <w:sz w:val="24"/>
          <w:szCs w:val="24"/>
        </w:rPr>
        <w:t>a 30°C.</w:t>
      </w:r>
    </w:p>
    <w:p w14:paraId="6160A21F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3857FA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II.3 Discussione sugli aspetti di qualità</w:t>
      </w:r>
    </w:p>
    <w:p w14:paraId="3393EE0F" w14:textId="3E788FB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è considerata adeguata. Non ci sono obiezioni per l’approvazione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>dal punto di vista chimico-farmaceutico.</w:t>
      </w:r>
    </w:p>
    <w:p w14:paraId="72D89610" w14:textId="7C4D2827" w:rsidR="004E5A39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0A4865" w14:textId="77777777" w:rsidR="002B766A" w:rsidRP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01E463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ASPETTI NON CLINICI</w:t>
      </w:r>
    </w:p>
    <w:p w14:paraId="4AFABA53" w14:textId="77777777" w:rsidR="00BA5960" w:rsidRPr="002B766A" w:rsidRDefault="00BA5960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A39E7B" w14:textId="322E28D6" w:rsidR="000808A3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Non sono stati condotti specifici studi non clinici, in quanto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contiene </w:t>
      </w:r>
      <w:r w:rsidR="00BA0ACD" w:rsidRPr="002B766A">
        <w:rPr>
          <w:rFonts w:cstheme="minorHAnsi"/>
          <w:sz w:val="24"/>
          <w:szCs w:val="24"/>
        </w:rPr>
        <w:t>un</w:t>
      </w:r>
      <w:r w:rsidRPr="002B766A">
        <w:rPr>
          <w:rFonts w:cstheme="minorHAnsi"/>
          <w:sz w:val="24"/>
          <w:szCs w:val="24"/>
        </w:rPr>
        <w:t xml:space="preserve"> principi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attiv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not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</w:t>
      </w:r>
      <w:r w:rsidR="00BA0ACD" w:rsidRPr="002B766A">
        <w:rPr>
          <w:rFonts w:cstheme="minorHAnsi"/>
          <w:sz w:val="24"/>
          <w:szCs w:val="24"/>
        </w:rPr>
        <w:t>presente nel medicinale di riferimento</w:t>
      </w:r>
      <w:r w:rsidRPr="002B766A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D149A7" w:rsidRPr="002B766A">
        <w:rPr>
          <w:rFonts w:eastAsia="Calibri" w:cstheme="minorHAnsi"/>
          <w:sz w:val="24"/>
          <w:szCs w:val="24"/>
          <w:lang w:eastAsia="it-IT"/>
        </w:rPr>
        <w:t>BRUFEN</w:t>
      </w:r>
      <w:r w:rsidR="00D149A7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>è autorizzato in Italia da oltre 10 anni</w:t>
      </w:r>
      <w:r w:rsidR="000808A3" w:rsidRPr="002B766A">
        <w:rPr>
          <w:rFonts w:cstheme="minorHAnsi"/>
          <w:sz w:val="24"/>
          <w:szCs w:val="24"/>
        </w:rPr>
        <w:t>.</w:t>
      </w:r>
    </w:p>
    <w:p w14:paraId="0B5B095D" w14:textId="171C2644" w:rsid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F4B301" w14:textId="77777777" w:rsidR="002B766A" w:rsidRP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929B72" w14:textId="7777777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6224C7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lastRenderedPageBreak/>
        <w:t>ASPETTI CLINICI</w:t>
      </w:r>
    </w:p>
    <w:p w14:paraId="2AB8546F" w14:textId="2FE16CEA" w:rsidR="000A3789" w:rsidRPr="002B766A" w:rsidRDefault="00EC116F" w:rsidP="002B766A">
      <w:pPr>
        <w:pStyle w:val="Corpotesto"/>
        <w:spacing w:before="182"/>
        <w:jc w:val="both"/>
        <w:rPr>
          <w:rFonts w:cstheme="minorHAnsi"/>
          <w:sz w:val="24"/>
          <w:szCs w:val="24"/>
        </w:rPr>
      </w:pPr>
      <w:r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2B766A">
        <w:rPr>
          <w:rFonts w:cstheme="minorHAnsi"/>
          <w:sz w:val="24"/>
          <w:szCs w:val="24"/>
        </w:rPr>
        <w:t xml:space="preserve">è utilizzato </w:t>
      </w:r>
      <w:r w:rsidR="002B766A" w:rsidRPr="002B766A">
        <w:rPr>
          <w:rFonts w:cstheme="minorHAnsi"/>
          <w:sz w:val="24"/>
          <w:szCs w:val="24"/>
        </w:rPr>
        <w:t>per:</w:t>
      </w:r>
    </w:p>
    <w:p w14:paraId="7315D504" w14:textId="77777777" w:rsidR="002B766A" w:rsidRPr="002B766A" w:rsidRDefault="002B766A" w:rsidP="002B766A">
      <w:pPr>
        <w:tabs>
          <w:tab w:val="left" w:pos="567"/>
        </w:tabs>
        <w:ind w:left="567" w:hanging="567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bdr w:val="nil"/>
        </w:rPr>
        <w:t>- Trattamento sintomatico del dolore da lieve a moderato e/o antipiretico</w:t>
      </w:r>
    </w:p>
    <w:p w14:paraId="755B0D23" w14:textId="5754A63F" w:rsidR="002B766A" w:rsidRPr="002B766A" w:rsidRDefault="002B766A" w:rsidP="002B766A">
      <w:pPr>
        <w:tabs>
          <w:tab w:val="left" w:pos="142"/>
        </w:tabs>
        <w:ind w:left="142" w:hanging="142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  <w:bdr w:val="nil"/>
        </w:rPr>
        <w:t>- Trattamento sintomatico del dolore e infiammazione nelle malattie artritiche (ad es. artrite reumatoide), condizioni artritiche degenerative (ad es. osteoartrite) e nel gonfiore doloroso e infiammazione in seguito a lesioni del tessuto molle.</w:t>
      </w:r>
    </w:p>
    <w:p w14:paraId="11F3B5EF" w14:textId="2687D622" w:rsidR="004E5A39" w:rsidRPr="002B766A" w:rsidRDefault="004E5A39" w:rsidP="002B766A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Posologia e modalità di somministrazione</w:t>
      </w:r>
    </w:p>
    <w:p w14:paraId="4D973F4E" w14:textId="609273F3" w:rsidR="004E5A39" w:rsidRPr="002B766A" w:rsidRDefault="004E5A39" w:rsidP="002B766A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="002B766A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eastAsia="Calibri" w:cstheme="minorHAnsi"/>
          <w:sz w:val="24"/>
          <w:szCs w:val="24"/>
          <w:lang w:eastAsia="it-IT"/>
        </w:rPr>
        <w:t>(</w:t>
      </w:r>
      <w:hyperlink r:id="rId13" w:anchor="/it/" w:history="1">
        <w:r w:rsidR="002B766A" w:rsidRPr="002B766A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Pr="002B766A">
        <w:rPr>
          <w:rFonts w:eastAsia="Calibri" w:cstheme="minorHAnsi"/>
          <w:sz w:val="24"/>
          <w:szCs w:val="24"/>
          <w:lang w:eastAsia="it-IT"/>
        </w:rPr>
        <w:t>).</w:t>
      </w:r>
    </w:p>
    <w:p w14:paraId="3E6476FE" w14:textId="77777777" w:rsidR="004E5A39" w:rsidRPr="002B766A" w:rsidRDefault="004E5A39" w:rsidP="002B766A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2F35B814" w14:textId="77777777" w:rsidR="004E5A39" w:rsidRPr="002B766A" w:rsidRDefault="004E5A39" w:rsidP="002B766A">
      <w:pPr>
        <w:spacing w:after="0" w:line="240" w:lineRule="auto"/>
        <w:ind w:right="6"/>
        <w:jc w:val="both"/>
        <w:rPr>
          <w:rFonts w:eastAsia="Calibri" w:cstheme="minorHAnsi"/>
          <w:b/>
          <w:sz w:val="24"/>
          <w:szCs w:val="24"/>
          <w:lang w:eastAsia="it-IT"/>
        </w:rPr>
      </w:pPr>
      <w:r w:rsidRPr="002B766A">
        <w:rPr>
          <w:rFonts w:eastAsia="Calibri" w:cstheme="minorHAnsi"/>
          <w:b/>
          <w:sz w:val="24"/>
          <w:szCs w:val="24"/>
          <w:lang w:eastAsia="it-IT"/>
        </w:rPr>
        <w:t>Tossicologia</w:t>
      </w:r>
    </w:p>
    <w:p w14:paraId="3AE3ADE2" w14:textId="49C9679D" w:rsidR="004E5A39" w:rsidRPr="002B766A" w:rsidRDefault="004E5A39" w:rsidP="002B766A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2B766A">
        <w:rPr>
          <w:rFonts w:eastAsia="Calibri" w:cstheme="minorHAnsi"/>
          <w:sz w:val="24"/>
          <w:szCs w:val="24"/>
          <w:lang w:eastAsia="it-IT"/>
        </w:rPr>
        <w:t xml:space="preserve">La tossicologia di </w:t>
      </w:r>
      <w:r w:rsidR="00B6271D" w:rsidRPr="002B766A">
        <w:rPr>
          <w:rFonts w:cstheme="minorHAnsi"/>
          <w:sz w:val="24"/>
          <w:szCs w:val="24"/>
        </w:rPr>
        <w:t>ibuprofene</w:t>
      </w:r>
      <w:r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eastAsia="Calibri" w:cstheme="minorHAnsi"/>
          <w:sz w:val="24"/>
          <w:szCs w:val="24"/>
          <w:lang w:eastAsia="it-IT"/>
        </w:rPr>
        <w:t>è ben conosciuta; non è stato necessario presentare ulteriori dati.</w:t>
      </w:r>
    </w:p>
    <w:p w14:paraId="4B92900B" w14:textId="77777777" w:rsidR="004E5A39" w:rsidRPr="002B766A" w:rsidRDefault="004E5A39" w:rsidP="002B766A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E6C5069" w14:textId="77777777" w:rsidR="004E5A39" w:rsidRPr="002B766A" w:rsidRDefault="004E5A39" w:rsidP="002B766A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2B766A">
        <w:rPr>
          <w:rFonts w:eastAsia="Times New Roman" w:cstheme="minorHAnsi"/>
          <w:b/>
          <w:sz w:val="24"/>
          <w:szCs w:val="24"/>
        </w:rPr>
        <w:t>Farmacologia clinica</w:t>
      </w:r>
    </w:p>
    <w:p w14:paraId="2A638207" w14:textId="761C184F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D149A7" w:rsidRPr="002B766A">
        <w:rPr>
          <w:rFonts w:cstheme="minorHAnsi"/>
          <w:sz w:val="24"/>
          <w:szCs w:val="24"/>
        </w:rPr>
        <w:t xml:space="preserve">ibuprofene </w:t>
      </w:r>
      <w:r w:rsidRPr="002B766A">
        <w:rPr>
          <w:rFonts w:eastAsia="Calibri" w:cstheme="minorHAnsi"/>
          <w:sz w:val="24"/>
          <w:szCs w:val="24"/>
          <w:lang w:eastAsia="it-IT"/>
        </w:rPr>
        <w:t>è ben conosciuta.</w:t>
      </w:r>
      <w:r w:rsidRPr="002B766A">
        <w:rPr>
          <w:rFonts w:cstheme="minorHAnsi"/>
          <w:sz w:val="24"/>
          <w:szCs w:val="24"/>
        </w:rPr>
        <w:t xml:space="preserve">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contiene </w:t>
      </w:r>
      <w:r w:rsidR="00BA0ACD" w:rsidRPr="002B766A">
        <w:rPr>
          <w:rFonts w:cstheme="minorHAnsi"/>
          <w:sz w:val="24"/>
          <w:szCs w:val="24"/>
        </w:rPr>
        <w:t>un</w:t>
      </w:r>
      <w:r w:rsidRPr="002B766A">
        <w:rPr>
          <w:rFonts w:cstheme="minorHAnsi"/>
          <w:sz w:val="24"/>
          <w:szCs w:val="24"/>
        </w:rPr>
        <w:t xml:space="preserve"> principi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attiv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not</w:t>
      </w:r>
      <w:r w:rsidR="00BA0ACD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present</w:t>
      </w:r>
      <w:r w:rsidR="00BA0ACD" w:rsidRPr="002B766A">
        <w:rPr>
          <w:rFonts w:cstheme="minorHAnsi"/>
          <w:sz w:val="24"/>
          <w:szCs w:val="24"/>
        </w:rPr>
        <w:t>e</w:t>
      </w:r>
      <w:r w:rsidRPr="002B766A">
        <w:rPr>
          <w:rFonts w:cstheme="minorHAnsi"/>
          <w:sz w:val="24"/>
          <w:szCs w:val="24"/>
        </w:rPr>
        <w:t xml:space="preserve"> nel medicinale </w:t>
      </w:r>
      <w:r w:rsidR="00BA0ACD" w:rsidRPr="002B766A">
        <w:rPr>
          <w:rFonts w:cstheme="minorHAnsi"/>
          <w:sz w:val="24"/>
          <w:szCs w:val="24"/>
        </w:rPr>
        <w:t xml:space="preserve">di riferimento </w:t>
      </w:r>
      <w:proofErr w:type="spellStart"/>
      <w:r w:rsidR="00D149A7" w:rsidRPr="002B766A">
        <w:rPr>
          <w:rFonts w:cstheme="minorHAnsi"/>
          <w:sz w:val="24"/>
          <w:szCs w:val="24"/>
        </w:rPr>
        <w:t>Brufen</w:t>
      </w:r>
      <w:proofErr w:type="spellEnd"/>
      <w:r w:rsidR="00D149A7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autorizzato in Italia da più di </w:t>
      </w:r>
      <w:r w:rsidR="00571388" w:rsidRPr="002B766A">
        <w:rPr>
          <w:rFonts w:cstheme="minorHAnsi"/>
          <w:sz w:val="24"/>
          <w:szCs w:val="24"/>
        </w:rPr>
        <w:t>8</w:t>
      </w:r>
      <w:r w:rsidRPr="002B766A">
        <w:rPr>
          <w:rFonts w:cstheme="minorHAnsi"/>
          <w:sz w:val="24"/>
          <w:szCs w:val="24"/>
        </w:rPr>
        <w:t xml:space="preserve"> anni.</w:t>
      </w:r>
      <w:r w:rsidR="006727BD" w:rsidRPr="002B766A">
        <w:rPr>
          <w:rFonts w:cstheme="minorHAnsi"/>
          <w:sz w:val="24"/>
          <w:szCs w:val="24"/>
        </w:rPr>
        <w:t xml:space="preserve"> </w:t>
      </w:r>
      <w:r w:rsidR="00BE7CDB" w:rsidRPr="002B766A">
        <w:rPr>
          <w:rFonts w:cstheme="minorHAnsi"/>
          <w:sz w:val="24"/>
          <w:szCs w:val="24"/>
        </w:rPr>
        <w:t>Con l’eccezione dello studio di bioequivalenza, non sono stati condotti nuovi studi clinici di farmacodinamica e farmacocinetica</w:t>
      </w:r>
      <w:r w:rsidR="00571388" w:rsidRPr="002B766A">
        <w:rPr>
          <w:rFonts w:cstheme="minorHAnsi"/>
          <w:sz w:val="24"/>
          <w:szCs w:val="24"/>
        </w:rPr>
        <w:t>.</w:t>
      </w:r>
    </w:p>
    <w:p w14:paraId="0C0822CC" w14:textId="77777777" w:rsidR="00571388" w:rsidRPr="002B766A" w:rsidRDefault="00571388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7FFD51" w14:textId="77777777" w:rsidR="006727BD" w:rsidRPr="002B766A" w:rsidRDefault="006727BD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Studio di bioequivalenza</w:t>
      </w:r>
    </w:p>
    <w:p w14:paraId="3725DDCC" w14:textId="2EDD7D98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95D0A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600 mg compresse rivestite con film </w:t>
      </w:r>
      <w:r w:rsidRPr="002B766A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D95D0A" w:rsidRPr="002B766A">
        <w:rPr>
          <w:rFonts w:cstheme="minorHAnsi"/>
          <w:sz w:val="24"/>
          <w:szCs w:val="24"/>
        </w:rPr>
        <w:t>Brufen</w:t>
      </w:r>
      <w:proofErr w:type="spellEnd"/>
      <w:r w:rsidR="00D95D0A" w:rsidRPr="002B766A">
        <w:rPr>
          <w:rFonts w:cstheme="minorHAnsi"/>
          <w:sz w:val="24"/>
          <w:szCs w:val="24"/>
        </w:rPr>
        <w:t xml:space="preserve"> </w:t>
      </w:r>
      <w:r w:rsidR="00D95D0A" w:rsidRPr="002B766A">
        <w:rPr>
          <w:rFonts w:eastAsia="Calibri" w:cstheme="minorHAnsi"/>
          <w:color w:val="000000"/>
          <w:sz w:val="24"/>
          <w:szCs w:val="24"/>
          <w:lang w:eastAsia="it-IT"/>
        </w:rPr>
        <w:t>600 mg compresse rivestite con film.</w:t>
      </w:r>
    </w:p>
    <w:p w14:paraId="42BABEFD" w14:textId="5CBEC3DE" w:rsidR="005049A1" w:rsidRPr="002B766A" w:rsidRDefault="005049A1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Lo studio </w:t>
      </w:r>
      <w:r w:rsidR="00D95D0A" w:rsidRPr="002B766A">
        <w:rPr>
          <w:rFonts w:cstheme="minorHAnsi"/>
          <w:sz w:val="24"/>
          <w:szCs w:val="24"/>
        </w:rPr>
        <w:t xml:space="preserve">è </w:t>
      </w:r>
      <w:r w:rsidRPr="002B766A">
        <w:rPr>
          <w:rFonts w:cstheme="minorHAnsi"/>
          <w:sz w:val="24"/>
          <w:szCs w:val="24"/>
        </w:rPr>
        <w:t>caratterizzato da un appropriato disegno ed è stato condotto in accordo ai principi GCP.</w:t>
      </w:r>
    </w:p>
    <w:p w14:paraId="113DCE9F" w14:textId="77777777" w:rsidR="005049A1" w:rsidRPr="002B766A" w:rsidRDefault="005049A1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069F27CC" w14:textId="77777777" w:rsidR="00B6271D" w:rsidRPr="002B766A" w:rsidRDefault="00B6271D" w:rsidP="002B766A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436B9784" w14:textId="3C3A63F0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L’utilizzo del solo dosaggio maggiore </w:t>
      </w:r>
      <w:r w:rsidR="00D95D0A" w:rsidRPr="002B766A">
        <w:rPr>
          <w:rFonts w:cstheme="minorHAnsi"/>
          <w:sz w:val="24"/>
          <w:szCs w:val="24"/>
        </w:rPr>
        <w:t>6</w:t>
      </w:r>
      <w:r w:rsidRPr="002B766A">
        <w:rPr>
          <w:rFonts w:cstheme="minorHAnsi"/>
          <w:sz w:val="24"/>
          <w:szCs w:val="24"/>
        </w:rPr>
        <w:t>00 mg per lo studio di bioequivalenza è stato opportunamente giustificato.</w:t>
      </w:r>
    </w:p>
    <w:p w14:paraId="2718B6A5" w14:textId="77777777" w:rsidR="00BA5960" w:rsidRPr="002B766A" w:rsidRDefault="00BA5960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A08988" w14:textId="37616CC5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Lo studio di </w:t>
      </w:r>
      <w:proofErr w:type="spellStart"/>
      <w:r w:rsidRPr="002B766A">
        <w:rPr>
          <w:rFonts w:cstheme="minorHAnsi"/>
          <w:sz w:val="24"/>
          <w:szCs w:val="24"/>
        </w:rPr>
        <w:t>bioequivalenza</w:t>
      </w:r>
      <w:proofErr w:type="spellEnd"/>
      <w:r w:rsidRPr="002B766A">
        <w:rPr>
          <w:rFonts w:cstheme="minorHAnsi"/>
          <w:sz w:val="24"/>
          <w:szCs w:val="24"/>
        </w:rPr>
        <w:t xml:space="preserve"> è uno studio comparativo, randomizzato, a dose singola, 2-periodi,</w:t>
      </w:r>
      <w:r w:rsidR="00D95D0A" w:rsidRPr="002B766A">
        <w:rPr>
          <w:rFonts w:cstheme="minorHAnsi"/>
          <w:sz w:val="24"/>
          <w:szCs w:val="24"/>
        </w:rPr>
        <w:t xml:space="preserve"> 2 sequenze,</w:t>
      </w:r>
      <w:r w:rsidRPr="002B766A">
        <w:rPr>
          <w:rFonts w:cstheme="minorHAnsi"/>
          <w:sz w:val="24"/>
          <w:szCs w:val="24"/>
        </w:rPr>
        <w:t xml:space="preserve"> </w:t>
      </w:r>
      <w:r w:rsidR="00D95D0A" w:rsidRPr="002B766A">
        <w:rPr>
          <w:rFonts w:cstheme="minorHAnsi"/>
          <w:sz w:val="24"/>
          <w:szCs w:val="24"/>
        </w:rPr>
        <w:t xml:space="preserve">2 trattamenti, </w:t>
      </w:r>
      <w:r w:rsidRPr="002B766A">
        <w:rPr>
          <w:rFonts w:cstheme="minorHAnsi"/>
          <w:sz w:val="24"/>
          <w:szCs w:val="24"/>
        </w:rPr>
        <w:t>crossover</w:t>
      </w:r>
      <w:r w:rsidR="00D95D0A" w:rsidRPr="002B766A">
        <w:rPr>
          <w:rFonts w:cstheme="minorHAnsi"/>
          <w:sz w:val="24"/>
          <w:szCs w:val="24"/>
        </w:rPr>
        <w:t>,</w:t>
      </w:r>
      <w:r w:rsidRPr="002B766A">
        <w:rPr>
          <w:rFonts w:cstheme="minorHAnsi"/>
          <w:sz w:val="24"/>
          <w:szCs w:val="24"/>
        </w:rPr>
        <w:t xml:space="preserve"> condotto </w:t>
      </w:r>
      <w:r w:rsidR="00D95D0A" w:rsidRPr="002B766A">
        <w:rPr>
          <w:rFonts w:cstheme="minorHAnsi"/>
          <w:sz w:val="24"/>
          <w:szCs w:val="24"/>
        </w:rPr>
        <w:t xml:space="preserve">su 24 </w:t>
      </w:r>
      <w:r w:rsidRPr="002B766A">
        <w:rPr>
          <w:rFonts w:cstheme="minorHAnsi"/>
          <w:sz w:val="24"/>
          <w:szCs w:val="24"/>
        </w:rPr>
        <w:t xml:space="preserve">volontari sani con somministrazione a digiuno. Dopo una notte di digiuno, il medicinale è stato somministrato con acqua. Un soddisfacente periodo di wash-out di </w:t>
      </w:r>
      <w:r w:rsidR="00D95D0A" w:rsidRPr="002B766A">
        <w:rPr>
          <w:rFonts w:cstheme="minorHAnsi"/>
          <w:sz w:val="24"/>
          <w:szCs w:val="24"/>
        </w:rPr>
        <w:t xml:space="preserve">7 </w:t>
      </w:r>
      <w:r w:rsidRPr="002B766A">
        <w:rPr>
          <w:rFonts w:cstheme="minorHAnsi"/>
          <w:sz w:val="24"/>
          <w:szCs w:val="24"/>
        </w:rPr>
        <w:t>giorni è stato previsto tra le somministrazioni in ogni gruppo.</w:t>
      </w:r>
    </w:p>
    <w:p w14:paraId="30CD4D02" w14:textId="77777777" w:rsidR="00BA5960" w:rsidRPr="002B766A" w:rsidRDefault="00BA5960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C8F36E" w14:textId="5A19FB15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Campioni di sangue sono stati prelevati al tempo zero (</w:t>
      </w:r>
      <w:proofErr w:type="spellStart"/>
      <w:r w:rsidRPr="002B766A">
        <w:rPr>
          <w:rFonts w:cstheme="minorHAnsi"/>
          <w:sz w:val="24"/>
          <w:szCs w:val="24"/>
        </w:rPr>
        <w:t>pre</w:t>
      </w:r>
      <w:proofErr w:type="spellEnd"/>
      <w:r w:rsidRPr="002B766A">
        <w:rPr>
          <w:rFonts w:cstheme="minorHAnsi"/>
          <w:sz w:val="24"/>
          <w:szCs w:val="24"/>
        </w:rPr>
        <w:t xml:space="preserve">-dose) e a specificati tempi fino a </w:t>
      </w:r>
      <w:r w:rsidR="00754E7B" w:rsidRPr="002B766A">
        <w:rPr>
          <w:rFonts w:cstheme="minorHAnsi"/>
          <w:sz w:val="24"/>
          <w:szCs w:val="24"/>
        </w:rPr>
        <w:t xml:space="preserve">12 </w:t>
      </w:r>
      <w:r w:rsidRPr="002B766A">
        <w:rPr>
          <w:rFonts w:cstheme="minorHAnsi"/>
          <w:sz w:val="24"/>
          <w:szCs w:val="24"/>
        </w:rPr>
        <w:t xml:space="preserve">ore dopo la somministrazione. I livelli plasmatici di </w:t>
      </w:r>
      <w:r w:rsidR="00742CC0" w:rsidRPr="002B766A">
        <w:rPr>
          <w:rFonts w:cstheme="minorHAnsi"/>
          <w:sz w:val="24"/>
          <w:szCs w:val="24"/>
        </w:rPr>
        <w:t>ibuprofene</w:t>
      </w:r>
      <w:r w:rsidR="00754E7B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sono stati determinati mediante un metodo analitico </w:t>
      </w:r>
      <w:r w:rsidR="00754E7B" w:rsidRPr="002B766A">
        <w:rPr>
          <w:rFonts w:cstheme="minorHAnsi"/>
          <w:sz w:val="24"/>
          <w:szCs w:val="24"/>
        </w:rPr>
        <w:t xml:space="preserve">HPLC-MS/MS </w:t>
      </w:r>
      <w:r w:rsidRPr="002B766A">
        <w:rPr>
          <w:rFonts w:cstheme="minorHAnsi"/>
          <w:sz w:val="24"/>
          <w:szCs w:val="24"/>
        </w:rPr>
        <w:t>opportunamente convalidato.</w:t>
      </w:r>
    </w:p>
    <w:p w14:paraId="31C246E5" w14:textId="77777777" w:rsidR="00BA5960" w:rsidRPr="002B766A" w:rsidRDefault="00BA5960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CC860A" w14:textId="74BED28C" w:rsidR="005049A1" w:rsidRPr="002B766A" w:rsidRDefault="005049A1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Per </w:t>
      </w:r>
      <w:r w:rsidR="00742CC0" w:rsidRPr="002B766A">
        <w:rPr>
          <w:rFonts w:cstheme="minorHAnsi"/>
          <w:sz w:val="24"/>
          <w:szCs w:val="24"/>
        </w:rPr>
        <w:t>ibuprofene</w:t>
      </w:r>
      <w:r w:rsidRPr="002B766A">
        <w:rPr>
          <w:rFonts w:cstheme="minorHAnsi"/>
          <w:sz w:val="24"/>
          <w:szCs w:val="24"/>
        </w:rPr>
        <w:t xml:space="preserve"> sono state definite le seguenti variabili farmacocinetiche: </w:t>
      </w:r>
      <w:r w:rsidR="00754E7B" w:rsidRPr="002B766A">
        <w:rPr>
          <w:rFonts w:cstheme="minorHAnsi"/>
          <w:sz w:val="24"/>
          <w:szCs w:val="24"/>
        </w:rPr>
        <w:t>AUC</w:t>
      </w:r>
      <w:r w:rsidR="00754E7B" w:rsidRPr="002B766A">
        <w:rPr>
          <w:rFonts w:cstheme="minorHAnsi"/>
          <w:sz w:val="24"/>
          <w:szCs w:val="24"/>
          <w:vertAlign w:val="subscript"/>
        </w:rPr>
        <w:t>0‐∞,</w:t>
      </w:r>
      <w:r w:rsidR="00754E7B" w:rsidRPr="002B766A">
        <w:rPr>
          <w:rFonts w:cstheme="minorHAnsi"/>
          <w:sz w:val="24"/>
          <w:szCs w:val="24"/>
        </w:rPr>
        <w:t xml:space="preserve"> AUC</w:t>
      </w:r>
      <w:r w:rsidR="00754E7B" w:rsidRPr="002B766A">
        <w:rPr>
          <w:rFonts w:cstheme="minorHAnsi"/>
          <w:sz w:val="24"/>
          <w:szCs w:val="24"/>
          <w:vertAlign w:val="subscript"/>
        </w:rPr>
        <w:t>0‐t</w:t>
      </w:r>
      <w:r w:rsidR="00754E7B" w:rsidRPr="002B766A">
        <w:rPr>
          <w:rFonts w:cstheme="minorHAnsi"/>
          <w:sz w:val="24"/>
          <w:szCs w:val="24"/>
        </w:rPr>
        <w:t xml:space="preserve">, AUC </w:t>
      </w:r>
      <w:r w:rsidR="00754E7B" w:rsidRPr="002B766A">
        <w:rPr>
          <w:rFonts w:cstheme="minorHAnsi"/>
          <w:sz w:val="24"/>
          <w:szCs w:val="24"/>
          <w:vertAlign w:val="subscript"/>
        </w:rPr>
        <w:t xml:space="preserve">% </w:t>
      </w:r>
      <w:proofErr w:type="spellStart"/>
      <w:r w:rsidR="00754E7B" w:rsidRPr="002B766A">
        <w:rPr>
          <w:rFonts w:cstheme="minorHAnsi"/>
          <w:sz w:val="24"/>
          <w:szCs w:val="24"/>
          <w:vertAlign w:val="subscript"/>
        </w:rPr>
        <w:t>Extrapol</w:t>
      </w:r>
      <w:proofErr w:type="spellEnd"/>
      <w:r w:rsidR="00754E7B" w:rsidRPr="002B766A">
        <w:rPr>
          <w:rFonts w:cstheme="minorHAnsi"/>
          <w:sz w:val="24"/>
          <w:szCs w:val="24"/>
        </w:rPr>
        <w:t xml:space="preserve">, </w:t>
      </w:r>
      <w:proofErr w:type="spellStart"/>
      <w:r w:rsidR="00754E7B" w:rsidRPr="002B766A">
        <w:rPr>
          <w:rFonts w:cstheme="minorHAnsi"/>
          <w:sz w:val="24"/>
          <w:szCs w:val="24"/>
        </w:rPr>
        <w:t>C</w:t>
      </w:r>
      <w:r w:rsidR="00754E7B" w:rsidRPr="002B766A">
        <w:rPr>
          <w:rFonts w:cstheme="minorHAnsi"/>
          <w:sz w:val="24"/>
          <w:szCs w:val="24"/>
          <w:vertAlign w:val="subscript"/>
        </w:rPr>
        <w:t>max</w:t>
      </w:r>
      <w:proofErr w:type="spellEnd"/>
      <w:r w:rsidR="00754E7B" w:rsidRPr="002B766A">
        <w:rPr>
          <w:rFonts w:cstheme="minorHAnsi"/>
          <w:sz w:val="24"/>
          <w:szCs w:val="24"/>
        </w:rPr>
        <w:t xml:space="preserve">, </w:t>
      </w:r>
      <w:proofErr w:type="spellStart"/>
      <w:r w:rsidR="00754E7B" w:rsidRPr="002B766A">
        <w:rPr>
          <w:rFonts w:cstheme="minorHAnsi"/>
          <w:sz w:val="24"/>
          <w:szCs w:val="24"/>
        </w:rPr>
        <w:t>T</w:t>
      </w:r>
      <w:r w:rsidR="00754E7B" w:rsidRPr="002B766A">
        <w:rPr>
          <w:rFonts w:cstheme="minorHAnsi"/>
          <w:sz w:val="24"/>
          <w:szCs w:val="24"/>
          <w:vertAlign w:val="subscript"/>
        </w:rPr>
        <w:t>max</w:t>
      </w:r>
      <w:proofErr w:type="spellEnd"/>
      <w:r w:rsidR="00754E7B" w:rsidRPr="002B766A">
        <w:rPr>
          <w:rFonts w:cstheme="minorHAnsi"/>
          <w:sz w:val="24"/>
          <w:szCs w:val="24"/>
        </w:rPr>
        <w:t>, t</w:t>
      </w:r>
      <w:r w:rsidR="00754E7B" w:rsidRPr="002B766A">
        <w:rPr>
          <w:rFonts w:cstheme="minorHAnsi"/>
          <w:sz w:val="24"/>
          <w:szCs w:val="24"/>
          <w:vertAlign w:val="subscript"/>
        </w:rPr>
        <w:t>1/2</w:t>
      </w:r>
      <w:r w:rsidR="00754E7B" w:rsidRPr="002B766A">
        <w:rPr>
          <w:rFonts w:cstheme="minorHAnsi"/>
          <w:sz w:val="24"/>
          <w:szCs w:val="24"/>
        </w:rPr>
        <w:t xml:space="preserve">, MRT, </w:t>
      </w:r>
      <w:proofErr w:type="spellStart"/>
      <w:r w:rsidR="00754E7B" w:rsidRPr="002B766A">
        <w:rPr>
          <w:rFonts w:cstheme="minorHAnsi"/>
          <w:sz w:val="24"/>
          <w:szCs w:val="24"/>
        </w:rPr>
        <w:t>Vd</w:t>
      </w:r>
      <w:proofErr w:type="spellEnd"/>
      <w:r w:rsidR="00754E7B" w:rsidRPr="002B766A">
        <w:rPr>
          <w:rFonts w:cstheme="minorHAnsi"/>
          <w:sz w:val="24"/>
          <w:szCs w:val="24"/>
        </w:rPr>
        <w:t xml:space="preserve"> e Cl</w:t>
      </w:r>
      <w:r w:rsidRPr="002B766A">
        <w:rPr>
          <w:rFonts w:cstheme="minorHAnsi"/>
          <w:sz w:val="24"/>
          <w:szCs w:val="24"/>
        </w:rPr>
        <w:t xml:space="preserve">. La bioequivalenza tra medicinale test e medicinale di riferimento è dimostrata se gli intervalli di confidenza al 90% per la trasformata logaritmica di </w:t>
      </w:r>
      <w:proofErr w:type="spellStart"/>
      <w:r w:rsidRPr="002B766A">
        <w:rPr>
          <w:rFonts w:cstheme="minorHAnsi"/>
          <w:sz w:val="24"/>
          <w:szCs w:val="24"/>
        </w:rPr>
        <w:t>C</w:t>
      </w:r>
      <w:r w:rsidRPr="002B766A">
        <w:rPr>
          <w:rFonts w:cstheme="minorHAnsi"/>
          <w:sz w:val="24"/>
          <w:szCs w:val="24"/>
          <w:vertAlign w:val="subscript"/>
        </w:rPr>
        <w:t>max</w:t>
      </w:r>
      <w:proofErr w:type="spellEnd"/>
      <w:r w:rsidRPr="002B766A">
        <w:rPr>
          <w:rFonts w:cstheme="minorHAnsi"/>
          <w:sz w:val="24"/>
          <w:szCs w:val="24"/>
        </w:rPr>
        <w:t xml:space="preserve"> e AUC</w:t>
      </w:r>
      <w:r w:rsidRPr="002B766A">
        <w:rPr>
          <w:rFonts w:cstheme="minorHAnsi"/>
          <w:sz w:val="24"/>
          <w:szCs w:val="24"/>
          <w:vertAlign w:val="subscript"/>
        </w:rPr>
        <w:t>0-t</w:t>
      </w:r>
      <w:r w:rsidRPr="002B766A">
        <w:rPr>
          <w:rFonts w:cstheme="minorHAnsi"/>
          <w:sz w:val="24"/>
          <w:szCs w:val="24"/>
        </w:rPr>
        <w:t>, cadono nel range di accettabilità di 0.80-1.25 (80%</w:t>
      </w:r>
      <w:r w:rsidR="00BA5960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>-</w:t>
      </w:r>
      <w:r w:rsidR="00BA5960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>125%)</w:t>
      </w:r>
      <w:r w:rsidR="00754E7B" w:rsidRPr="002B766A">
        <w:rPr>
          <w:rFonts w:cstheme="minorHAnsi"/>
          <w:sz w:val="24"/>
          <w:szCs w:val="24"/>
        </w:rPr>
        <w:t xml:space="preserve"> e se i valori di </w:t>
      </w:r>
      <w:proofErr w:type="spellStart"/>
      <w:r w:rsidR="00754E7B" w:rsidRPr="002B766A">
        <w:rPr>
          <w:rFonts w:cstheme="minorHAnsi"/>
          <w:sz w:val="24"/>
          <w:szCs w:val="24"/>
        </w:rPr>
        <w:t>T</w:t>
      </w:r>
      <w:r w:rsidR="00754E7B" w:rsidRPr="002B766A">
        <w:rPr>
          <w:rFonts w:cstheme="minorHAnsi"/>
          <w:sz w:val="24"/>
          <w:szCs w:val="24"/>
          <w:vertAlign w:val="subscript"/>
        </w:rPr>
        <w:t>max</w:t>
      </w:r>
      <w:proofErr w:type="spellEnd"/>
      <w:r w:rsidR="005D0282" w:rsidRPr="002B766A">
        <w:rPr>
          <w:rFonts w:cstheme="minorHAnsi"/>
          <w:sz w:val="24"/>
          <w:szCs w:val="24"/>
        </w:rPr>
        <w:t xml:space="preserve"> (mediana e range) tra test e </w:t>
      </w:r>
      <w:proofErr w:type="spellStart"/>
      <w:r w:rsidR="005D0282" w:rsidRPr="002B766A">
        <w:rPr>
          <w:rFonts w:cstheme="minorHAnsi"/>
          <w:sz w:val="24"/>
          <w:szCs w:val="24"/>
        </w:rPr>
        <w:t>reference</w:t>
      </w:r>
      <w:proofErr w:type="spellEnd"/>
      <w:r w:rsidR="00754E7B" w:rsidRPr="002B766A">
        <w:rPr>
          <w:rFonts w:cstheme="minorHAnsi"/>
          <w:sz w:val="24"/>
          <w:szCs w:val="24"/>
        </w:rPr>
        <w:t xml:space="preserve"> </w:t>
      </w:r>
      <w:r w:rsidR="005D0282" w:rsidRPr="002B766A">
        <w:rPr>
          <w:rFonts w:cstheme="minorHAnsi"/>
          <w:sz w:val="24"/>
          <w:szCs w:val="24"/>
        </w:rPr>
        <w:t>sono</w:t>
      </w:r>
      <w:r w:rsidR="00754E7B" w:rsidRPr="002B766A">
        <w:rPr>
          <w:rFonts w:cstheme="minorHAnsi"/>
          <w:sz w:val="24"/>
          <w:szCs w:val="24"/>
        </w:rPr>
        <w:t xml:space="preserve"> comparabili, in accordo a quanto previsto dall</w:t>
      </w:r>
      <w:r w:rsidR="00BA5960" w:rsidRPr="002B766A">
        <w:rPr>
          <w:rFonts w:cstheme="minorHAnsi"/>
          <w:sz w:val="24"/>
          <w:szCs w:val="24"/>
        </w:rPr>
        <w:t>e</w:t>
      </w:r>
      <w:r w:rsidR="00754E7B" w:rsidRPr="002B766A">
        <w:rPr>
          <w:rFonts w:cstheme="minorHAnsi"/>
          <w:sz w:val="24"/>
          <w:szCs w:val="24"/>
        </w:rPr>
        <w:t xml:space="preserve"> line</w:t>
      </w:r>
      <w:r w:rsidR="00BA5960" w:rsidRPr="002B766A">
        <w:rPr>
          <w:rFonts w:cstheme="minorHAnsi"/>
          <w:sz w:val="24"/>
          <w:szCs w:val="24"/>
        </w:rPr>
        <w:t xml:space="preserve">e </w:t>
      </w:r>
      <w:r w:rsidR="00754E7B" w:rsidRPr="002B766A">
        <w:rPr>
          <w:rFonts w:cstheme="minorHAnsi"/>
          <w:sz w:val="24"/>
          <w:szCs w:val="24"/>
        </w:rPr>
        <w:t>gu</w:t>
      </w:r>
      <w:r w:rsidR="00B6271D" w:rsidRPr="002B766A">
        <w:rPr>
          <w:rFonts w:cstheme="minorHAnsi"/>
          <w:sz w:val="24"/>
          <w:szCs w:val="24"/>
        </w:rPr>
        <w:t>i</w:t>
      </w:r>
      <w:r w:rsidR="00754E7B" w:rsidRPr="002B766A">
        <w:rPr>
          <w:rFonts w:cstheme="minorHAnsi"/>
          <w:sz w:val="24"/>
          <w:szCs w:val="24"/>
        </w:rPr>
        <w:t>da</w:t>
      </w:r>
      <w:r w:rsidR="004D42E2" w:rsidRPr="002B766A">
        <w:rPr>
          <w:rFonts w:cstheme="minorHAnsi"/>
          <w:sz w:val="24"/>
          <w:szCs w:val="24"/>
        </w:rPr>
        <w:t xml:space="preserve"> </w:t>
      </w:r>
      <w:r w:rsidR="00BA5960" w:rsidRPr="002B766A">
        <w:rPr>
          <w:rFonts w:cstheme="minorHAnsi"/>
          <w:sz w:val="24"/>
          <w:szCs w:val="24"/>
        </w:rPr>
        <w:t>in materia.</w:t>
      </w:r>
      <w:r w:rsidR="005D0282" w:rsidRPr="002B766A">
        <w:rPr>
          <w:rFonts w:cstheme="minorHAnsi"/>
          <w:sz w:val="24"/>
          <w:szCs w:val="24"/>
        </w:rPr>
        <w:t xml:space="preserve"> </w:t>
      </w:r>
    </w:p>
    <w:p w14:paraId="0654FA81" w14:textId="1F83FEF6" w:rsidR="00BA5960" w:rsidRDefault="00BA5960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5D8F5CA" w14:textId="77777777" w:rsidR="002B766A" w:rsidRPr="002B766A" w:rsidRDefault="002B766A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bookmarkStart w:id="1" w:name="_GoBack"/>
      <w:bookmarkEnd w:id="1"/>
    </w:p>
    <w:p w14:paraId="043EE250" w14:textId="77777777" w:rsidR="005049A1" w:rsidRPr="002B766A" w:rsidRDefault="005049A1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u w:val="single"/>
        </w:rPr>
      </w:pPr>
      <w:r w:rsidRPr="002B766A">
        <w:rPr>
          <w:rFonts w:cstheme="minorHAnsi"/>
          <w:sz w:val="24"/>
          <w:szCs w:val="24"/>
          <w:u w:val="single"/>
        </w:rPr>
        <w:lastRenderedPageBreak/>
        <w:t>Risultati</w:t>
      </w:r>
    </w:p>
    <w:p w14:paraId="0AA4B311" w14:textId="77777777" w:rsidR="002B766A" w:rsidRPr="002B766A" w:rsidRDefault="002B766A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B7CBEC5" w14:textId="6D770917" w:rsidR="005049A1" w:rsidRPr="002B766A" w:rsidRDefault="005D0282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24 </w:t>
      </w:r>
      <w:r w:rsidR="005049A1" w:rsidRPr="002B766A">
        <w:rPr>
          <w:rFonts w:cstheme="minorHAnsi"/>
          <w:sz w:val="24"/>
          <w:szCs w:val="24"/>
        </w:rPr>
        <w:t xml:space="preserve">volontari sani sono stati arruolati nello studio. </w:t>
      </w:r>
      <w:r w:rsidRPr="002B766A">
        <w:rPr>
          <w:rFonts w:cstheme="minorHAnsi"/>
          <w:sz w:val="24"/>
          <w:szCs w:val="24"/>
        </w:rPr>
        <w:t xml:space="preserve">Tutti i </w:t>
      </w:r>
      <w:r w:rsidR="005049A1" w:rsidRPr="002B766A">
        <w:rPr>
          <w:rFonts w:cstheme="minorHAnsi"/>
          <w:sz w:val="24"/>
          <w:szCs w:val="24"/>
        </w:rPr>
        <w:t>soggetti hanno completato la fase clinica e sono stati inclusi nell’analisi farmacocinetica.</w:t>
      </w:r>
    </w:p>
    <w:p w14:paraId="1A1E8478" w14:textId="77777777" w:rsidR="005049A1" w:rsidRPr="002B766A" w:rsidRDefault="005049A1" w:rsidP="002B766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2B766A">
        <w:rPr>
          <w:rFonts w:asciiTheme="minorHAnsi" w:hAnsiTheme="minorHAnsi" w:cstheme="minorHAnsi"/>
          <w:b w:val="0"/>
          <w:i/>
          <w:szCs w:val="24"/>
          <w:lang w:val="it-IT"/>
        </w:rPr>
        <w:t>Sicurezza</w:t>
      </w:r>
    </w:p>
    <w:p w14:paraId="1FCCB069" w14:textId="68A4C1B2" w:rsidR="005049A1" w:rsidRPr="002B766A" w:rsidRDefault="005049A1" w:rsidP="002B766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Nel corso dello studio, si sono manifestati </w:t>
      </w:r>
      <w:r w:rsidR="005D0282" w:rsidRPr="002B766A">
        <w:rPr>
          <w:rFonts w:cstheme="minorHAnsi"/>
          <w:sz w:val="24"/>
          <w:szCs w:val="24"/>
        </w:rPr>
        <w:t xml:space="preserve">13 </w:t>
      </w:r>
      <w:r w:rsidRPr="002B766A">
        <w:rPr>
          <w:rFonts w:cstheme="minorHAnsi"/>
          <w:sz w:val="24"/>
          <w:szCs w:val="24"/>
        </w:rPr>
        <w:t>eventi avversi</w:t>
      </w:r>
      <w:r w:rsidR="005D0282" w:rsidRPr="002B766A">
        <w:rPr>
          <w:rFonts w:cstheme="minorHAnsi"/>
          <w:sz w:val="24"/>
          <w:szCs w:val="24"/>
        </w:rPr>
        <w:t>, di cui solo 2</w:t>
      </w:r>
      <w:r w:rsidRPr="002B766A">
        <w:rPr>
          <w:rFonts w:cstheme="minorHAnsi"/>
          <w:sz w:val="24"/>
          <w:szCs w:val="24"/>
        </w:rPr>
        <w:t xml:space="preserve"> correlati al trattamento </w:t>
      </w:r>
      <w:r w:rsidR="005D0282" w:rsidRPr="002B766A">
        <w:rPr>
          <w:rFonts w:cstheme="minorHAnsi"/>
          <w:sz w:val="24"/>
          <w:szCs w:val="24"/>
        </w:rPr>
        <w:t>.</w:t>
      </w:r>
      <w:r w:rsidRPr="002B766A">
        <w:rPr>
          <w:rFonts w:cstheme="minorHAnsi"/>
          <w:sz w:val="24"/>
          <w:szCs w:val="24"/>
        </w:rPr>
        <w:t>Non sono stati rilevati eventi avversi gravi.</w:t>
      </w:r>
    </w:p>
    <w:p w14:paraId="0A986432" w14:textId="77777777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48808C" w14:textId="77777777" w:rsidR="005049A1" w:rsidRPr="002B766A" w:rsidRDefault="005049A1" w:rsidP="002B766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2B766A">
        <w:rPr>
          <w:rFonts w:asciiTheme="minorHAnsi" w:hAnsiTheme="minorHAnsi" w:cstheme="minorHAnsi"/>
          <w:b w:val="0"/>
          <w:i/>
          <w:szCs w:val="24"/>
          <w:lang w:val="it-IT"/>
        </w:rPr>
        <w:t>Parametri farmacocinetici</w:t>
      </w:r>
      <w:r w:rsidRPr="002B766A">
        <w:rPr>
          <w:rFonts w:asciiTheme="minorHAnsi" w:hAnsiTheme="minorHAnsi" w:cstheme="minorHAnsi"/>
          <w:b w:val="0"/>
          <w:szCs w:val="24"/>
          <w:lang w:val="it-IT"/>
        </w:rPr>
        <w:t xml:space="preserve">. </w:t>
      </w:r>
    </w:p>
    <w:p w14:paraId="5F783F0B" w14:textId="77777777" w:rsidR="005049A1" w:rsidRPr="002B766A" w:rsidRDefault="005049A1" w:rsidP="002B766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2B766A">
        <w:rPr>
          <w:rFonts w:asciiTheme="minorHAnsi" w:hAnsiTheme="minorHAnsi" w:cstheme="minorHAnsi"/>
          <w:b w:val="0"/>
          <w:szCs w:val="24"/>
          <w:lang w:val="it-IT"/>
        </w:rPr>
        <w:t>La sintesi dei risultati dello studio di bioequivalenza è riportata nella tabella che segue.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96"/>
        <w:gridCol w:w="1985"/>
        <w:gridCol w:w="1843"/>
        <w:gridCol w:w="4330"/>
      </w:tblGrid>
      <w:tr w:rsidR="005D0282" w:rsidRPr="002B766A" w14:paraId="3015307F" w14:textId="77777777" w:rsidTr="00D42D6E">
        <w:trPr>
          <w:jc w:val="center"/>
        </w:trPr>
        <w:tc>
          <w:tcPr>
            <w:tcW w:w="0" w:type="auto"/>
            <w:gridSpan w:val="4"/>
            <w:shd w:val="clear" w:color="auto" w:fill="auto"/>
            <w:vAlign w:val="bottom"/>
          </w:tcPr>
          <w:p w14:paraId="54E6AA04" w14:textId="6A518B06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2B766A">
              <w:rPr>
                <w:rFonts w:cstheme="minorHAnsi"/>
                <w:b/>
                <w:bCs/>
                <w:sz w:val="24"/>
                <w:szCs w:val="24"/>
              </w:rPr>
              <w:t>Ibuprofene</w:t>
            </w:r>
          </w:p>
        </w:tc>
      </w:tr>
      <w:tr w:rsidR="005D0282" w:rsidRPr="002B766A" w14:paraId="29FAE05F" w14:textId="77777777" w:rsidTr="00D42D6E">
        <w:trPr>
          <w:jc w:val="center"/>
        </w:trPr>
        <w:tc>
          <w:tcPr>
            <w:tcW w:w="1696" w:type="dxa"/>
            <w:vAlign w:val="bottom"/>
          </w:tcPr>
          <w:p w14:paraId="37F25832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Parametro</w:t>
            </w:r>
          </w:p>
        </w:tc>
        <w:tc>
          <w:tcPr>
            <w:tcW w:w="1985" w:type="dxa"/>
            <w:vAlign w:val="bottom"/>
          </w:tcPr>
          <w:p w14:paraId="672E4AC2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 xml:space="preserve">Test </w:t>
            </w:r>
          </w:p>
          <w:p w14:paraId="75F6D116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(Ibuprofene 600 mg)</w:t>
            </w:r>
          </w:p>
        </w:tc>
        <w:tc>
          <w:tcPr>
            <w:tcW w:w="1843" w:type="dxa"/>
            <w:vAlign w:val="bottom"/>
          </w:tcPr>
          <w:p w14:paraId="18C02651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Reference</w:t>
            </w:r>
          </w:p>
          <w:p w14:paraId="1E8AA581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2B766A">
              <w:rPr>
                <w:rFonts w:cstheme="minorHAnsi"/>
                <w:b/>
                <w:sz w:val="24"/>
                <w:szCs w:val="24"/>
              </w:rPr>
              <w:t>Brufen</w:t>
            </w:r>
            <w:proofErr w:type="spellEnd"/>
            <w:r w:rsidRPr="002B766A">
              <w:rPr>
                <w:rFonts w:cstheme="minorHAnsi"/>
                <w:b/>
                <w:sz w:val="24"/>
                <w:szCs w:val="24"/>
              </w:rPr>
              <w:t xml:space="preserve"> 600 mg)</w:t>
            </w:r>
          </w:p>
        </w:tc>
        <w:tc>
          <w:tcPr>
            <w:tcW w:w="4330" w:type="dxa"/>
            <w:vAlign w:val="bottom"/>
          </w:tcPr>
          <w:p w14:paraId="47FC028E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GMR (</w:t>
            </w:r>
            <w:proofErr w:type="spellStart"/>
            <w:r w:rsidRPr="002B766A">
              <w:rPr>
                <w:rFonts w:cstheme="minorHAnsi"/>
                <w:b/>
                <w:sz w:val="24"/>
                <w:szCs w:val="24"/>
              </w:rPr>
              <w:t>Geometric</w:t>
            </w:r>
            <w:proofErr w:type="spellEnd"/>
            <w:r w:rsidRPr="002B766A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2B766A">
              <w:rPr>
                <w:rFonts w:cstheme="minorHAnsi"/>
                <w:b/>
                <w:sz w:val="24"/>
                <w:szCs w:val="24"/>
              </w:rPr>
              <w:t>Means</w:t>
            </w:r>
            <w:proofErr w:type="spellEnd"/>
            <w:r w:rsidRPr="002B766A">
              <w:rPr>
                <w:rFonts w:cstheme="minorHAnsi"/>
                <w:b/>
                <w:sz w:val="24"/>
                <w:szCs w:val="24"/>
              </w:rPr>
              <w:t xml:space="preserve"> ratio) 90% Intervalli di confidenza</w:t>
            </w:r>
          </w:p>
        </w:tc>
      </w:tr>
      <w:tr w:rsidR="005D0282" w:rsidRPr="002B766A" w14:paraId="6F3064D0" w14:textId="77777777" w:rsidTr="00D42D6E">
        <w:trPr>
          <w:jc w:val="center"/>
        </w:trPr>
        <w:tc>
          <w:tcPr>
            <w:tcW w:w="1696" w:type="dxa"/>
            <w:vAlign w:val="bottom"/>
          </w:tcPr>
          <w:p w14:paraId="187E6DBD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B766A">
              <w:rPr>
                <w:rFonts w:cstheme="minorHAnsi"/>
                <w:b/>
                <w:sz w:val="24"/>
                <w:szCs w:val="24"/>
              </w:rPr>
              <w:t>AUC</w:t>
            </w:r>
            <w:r w:rsidRPr="002B766A">
              <w:rPr>
                <w:rFonts w:cstheme="minorHAnsi"/>
                <w:b/>
                <w:sz w:val="24"/>
                <w:szCs w:val="24"/>
                <w:vertAlign w:val="subscript"/>
              </w:rPr>
              <w:t xml:space="preserve">0-t </w:t>
            </w:r>
            <w:r w:rsidRPr="002B766A">
              <w:rPr>
                <w:rFonts w:cstheme="minorHAnsi"/>
                <w:sz w:val="24"/>
                <w:szCs w:val="24"/>
              </w:rPr>
              <w:t>(h*</w:t>
            </w:r>
            <w:proofErr w:type="spellStart"/>
            <w:r w:rsidRPr="002B766A">
              <w:rPr>
                <w:rFonts w:cstheme="minorHAnsi"/>
                <w:sz w:val="24"/>
                <w:szCs w:val="24"/>
              </w:rPr>
              <w:t>μg</w:t>
            </w:r>
            <w:proofErr w:type="spellEnd"/>
            <w:r w:rsidRPr="002B766A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2B766A">
              <w:rPr>
                <w:rFonts w:cstheme="minorHAnsi"/>
                <w:sz w:val="24"/>
                <w:szCs w:val="24"/>
              </w:rPr>
              <w:t>mL</w:t>
            </w:r>
            <w:proofErr w:type="spellEnd"/>
            <w:r w:rsidRPr="002B766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bottom"/>
          </w:tcPr>
          <w:p w14:paraId="45449B3D" w14:textId="2343ED88" w:rsidR="005D0282" w:rsidRPr="002B766A" w:rsidRDefault="00615A8B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  <w:r w:rsidRPr="002B766A">
              <w:rPr>
                <w:rFonts w:cstheme="minorHAnsi"/>
                <w:sz w:val="24"/>
                <w:szCs w:val="24"/>
              </w:rPr>
              <w:t>152,36</w:t>
            </w:r>
          </w:p>
        </w:tc>
        <w:tc>
          <w:tcPr>
            <w:tcW w:w="1843" w:type="dxa"/>
            <w:vAlign w:val="bottom"/>
          </w:tcPr>
          <w:p w14:paraId="74045A1C" w14:textId="0FF99EA5" w:rsidR="005D0282" w:rsidRPr="002B766A" w:rsidRDefault="00615A8B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  <w:r w:rsidRPr="002B766A">
              <w:rPr>
                <w:rFonts w:cstheme="minorHAnsi"/>
                <w:sz w:val="24"/>
                <w:szCs w:val="24"/>
              </w:rPr>
              <w:t>153,96</w:t>
            </w:r>
          </w:p>
        </w:tc>
        <w:tc>
          <w:tcPr>
            <w:tcW w:w="4330" w:type="dxa"/>
            <w:vAlign w:val="bottom"/>
          </w:tcPr>
          <w:p w14:paraId="6601D40A" w14:textId="77777777" w:rsidR="005D0282" w:rsidRPr="002B766A" w:rsidRDefault="00EB59BD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  <w:r w:rsidRPr="002B766A">
              <w:rPr>
                <w:rFonts w:cstheme="minorHAnsi"/>
                <w:sz w:val="24"/>
                <w:szCs w:val="24"/>
              </w:rPr>
              <w:t>98,96</w:t>
            </w:r>
            <w:r w:rsidR="005D0282" w:rsidRPr="002B766A">
              <w:rPr>
                <w:rFonts w:cstheme="minorHAnsi"/>
                <w:sz w:val="24"/>
                <w:szCs w:val="24"/>
              </w:rPr>
              <w:t xml:space="preserve"> (</w:t>
            </w:r>
            <w:r w:rsidRPr="002B766A">
              <w:rPr>
                <w:rFonts w:cstheme="minorHAnsi"/>
                <w:sz w:val="24"/>
                <w:szCs w:val="24"/>
              </w:rPr>
              <w:t>95,09</w:t>
            </w:r>
            <w:r w:rsidR="005D0282" w:rsidRPr="002B766A">
              <w:rPr>
                <w:rFonts w:cstheme="minorHAnsi"/>
                <w:sz w:val="24"/>
                <w:szCs w:val="24"/>
              </w:rPr>
              <w:t xml:space="preserve"> </w:t>
            </w:r>
            <w:r w:rsidRPr="002B766A">
              <w:rPr>
                <w:rFonts w:cstheme="minorHAnsi"/>
                <w:sz w:val="24"/>
                <w:szCs w:val="24"/>
              </w:rPr>
              <w:t>–</w:t>
            </w:r>
            <w:r w:rsidR="005D0282" w:rsidRPr="002B766A">
              <w:rPr>
                <w:rFonts w:cstheme="minorHAnsi"/>
                <w:sz w:val="24"/>
                <w:szCs w:val="24"/>
              </w:rPr>
              <w:t xml:space="preserve"> </w:t>
            </w:r>
            <w:r w:rsidRPr="002B766A">
              <w:rPr>
                <w:rFonts w:cstheme="minorHAnsi"/>
                <w:sz w:val="24"/>
                <w:szCs w:val="24"/>
              </w:rPr>
              <w:t>102,99</w:t>
            </w:r>
            <w:r w:rsidR="005D0282" w:rsidRPr="002B766A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5D0282" w:rsidRPr="002B766A" w14:paraId="4A2AF6DB" w14:textId="77777777" w:rsidTr="00D42D6E">
        <w:trPr>
          <w:jc w:val="center"/>
        </w:trPr>
        <w:tc>
          <w:tcPr>
            <w:tcW w:w="1696" w:type="dxa"/>
            <w:vAlign w:val="bottom"/>
          </w:tcPr>
          <w:p w14:paraId="2E986FF5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2B766A">
              <w:rPr>
                <w:rFonts w:cstheme="minorHAnsi"/>
                <w:b/>
                <w:sz w:val="24"/>
                <w:szCs w:val="24"/>
              </w:rPr>
              <w:t>C</w:t>
            </w:r>
            <w:r w:rsidRPr="002B766A">
              <w:rPr>
                <w:rFonts w:cstheme="minorHAnsi"/>
                <w:b/>
                <w:sz w:val="24"/>
                <w:szCs w:val="24"/>
                <w:vertAlign w:val="subscript"/>
              </w:rPr>
              <w:t>max</w:t>
            </w:r>
            <w:proofErr w:type="spellEnd"/>
            <w:r w:rsidRPr="002B766A">
              <w:rPr>
                <w:rFonts w:cstheme="minorHAnsi"/>
                <w:b/>
                <w:sz w:val="24"/>
                <w:szCs w:val="24"/>
                <w:vertAlign w:val="subscript"/>
              </w:rPr>
              <w:t xml:space="preserve"> </w:t>
            </w:r>
            <w:r w:rsidRPr="002B766A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2B766A">
              <w:rPr>
                <w:rFonts w:cstheme="minorHAnsi"/>
                <w:sz w:val="24"/>
                <w:szCs w:val="24"/>
              </w:rPr>
              <w:t>μg</w:t>
            </w:r>
            <w:proofErr w:type="spellEnd"/>
            <w:r w:rsidRPr="002B766A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2B766A">
              <w:rPr>
                <w:rFonts w:cstheme="minorHAnsi"/>
                <w:sz w:val="24"/>
                <w:szCs w:val="24"/>
              </w:rPr>
              <w:t>mL</w:t>
            </w:r>
            <w:proofErr w:type="spellEnd"/>
            <w:r w:rsidRPr="002B766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bottom"/>
          </w:tcPr>
          <w:p w14:paraId="290BCF2A" w14:textId="1AED4C25" w:rsidR="005D0282" w:rsidRPr="002B766A" w:rsidRDefault="00615A8B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42,18</w:t>
            </w:r>
          </w:p>
        </w:tc>
        <w:tc>
          <w:tcPr>
            <w:tcW w:w="1843" w:type="dxa"/>
            <w:vAlign w:val="bottom"/>
          </w:tcPr>
          <w:p w14:paraId="45174AD6" w14:textId="1F98FBEB" w:rsidR="005D0282" w:rsidRPr="002B766A" w:rsidRDefault="00615A8B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41,60</w:t>
            </w:r>
          </w:p>
        </w:tc>
        <w:tc>
          <w:tcPr>
            <w:tcW w:w="4330" w:type="dxa"/>
            <w:vAlign w:val="bottom"/>
          </w:tcPr>
          <w:p w14:paraId="299EBFA5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101,39 (95.39 – 107,77)</w:t>
            </w:r>
          </w:p>
        </w:tc>
      </w:tr>
      <w:tr w:rsidR="005D0282" w:rsidRPr="002B766A" w14:paraId="3D4062D9" w14:textId="77777777" w:rsidTr="00D42D6E">
        <w:trPr>
          <w:jc w:val="center"/>
        </w:trPr>
        <w:tc>
          <w:tcPr>
            <w:tcW w:w="1696" w:type="dxa"/>
            <w:vAlign w:val="bottom"/>
          </w:tcPr>
          <w:p w14:paraId="6D4D0832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2B766A">
              <w:rPr>
                <w:rFonts w:cstheme="minorHAnsi"/>
                <w:b/>
                <w:sz w:val="24"/>
                <w:szCs w:val="24"/>
              </w:rPr>
              <w:t>T</w:t>
            </w:r>
            <w:r w:rsidRPr="002B766A">
              <w:rPr>
                <w:rFonts w:cstheme="minorHAnsi"/>
                <w:b/>
                <w:sz w:val="24"/>
                <w:szCs w:val="24"/>
                <w:vertAlign w:val="subscript"/>
              </w:rPr>
              <w:t>max</w:t>
            </w:r>
            <w:proofErr w:type="spellEnd"/>
            <w:r w:rsidRPr="002B766A">
              <w:rPr>
                <w:rFonts w:cstheme="minorHAnsi"/>
                <w:b/>
                <w:sz w:val="24"/>
                <w:szCs w:val="24"/>
                <w:vertAlign w:val="subscript"/>
              </w:rPr>
              <w:t xml:space="preserve"> </w:t>
            </w:r>
            <w:r w:rsidRPr="002B766A">
              <w:rPr>
                <w:rFonts w:cstheme="minorHAnsi"/>
                <w:sz w:val="24"/>
                <w:szCs w:val="24"/>
              </w:rPr>
              <w:t>(h)*</w:t>
            </w:r>
          </w:p>
        </w:tc>
        <w:tc>
          <w:tcPr>
            <w:tcW w:w="1985" w:type="dxa"/>
            <w:vAlign w:val="bottom"/>
          </w:tcPr>
          <w:p w14:paraId="3F4061CC" w14:textId="13B02234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1.</w:t>
            </w:r>
            <w:r w:rsidR="00615A8B" w:rsidRPr="002B766A">
              <w:rPr>
                <w:rFonts w:cstheme="minorHAnsi"/>
                <w:sz w:val="24"/>
                <w:szCs w:val="24"/>
              </w:rPr>
              <w:t xml:space="preserve">50 </w:t>
            </w:r>
            <w:r w:rsidRPr="002B766A">
              <w:rPr>
                <w:rFonts w:cstheme="minorHAnsi"/>
                <w:sz w:val="24"/>
                <w:szCs w:val="24"/>
              </w:rPr>
              <w:t>(0.</w:t>
            </w:r>
            <w:r w:rsidR="00615A8B" w:rsidRPr="002B766A">
              <w:rPr>
                <w:rFonts w:cstheme="minorHAnsi"/>
                <w:sz w:val="24"/>
                <w:szCs w:val="24"/>
              </w:rPr>
              <w:t>75</w:t>
            </w:r>
            <w:r w:rsidRPr="002B766A">
              <w:rPr>
                <w:rFonts w:cstheme="minorHAnsi"/>
                <w:sz w:val="24"/>
                <w:szCs w:val="24"/>
              </w:rPr>
              <w:t xml:space="preserve"> – </w:t>
            </w:r>
            <w:r w:rsidR="00615A8B" w:rsidRPr="002B766A">
              <w:rPr>
                <w:rFonts w:cstheme="minorHAnsi"/>
                <w:sz w:val="24"/>
                <w:szCs w:val="24"/>
              </w:rPr>
              <w:t>5</w:t>
            </w:r>
            <w:r w:rsidRPr="002B766A">
              <w:rPr>
                <w:rFonts w:cstheme="minorHAnsi"/>
                <w:sz w:val="24"/>
                <w:szCs w:val="24"/>
              </w:rPr>
              <w:t>.00)</w:t>
            </w:r>
          </w:p>
        </w:tc>
        <w:tc>
          <w:tcPr>
            <w:tcW w:w="1843" w:type="dxa"/>
            <w:vAlign w:val="bottom"/>
          </w:tcPr>
          <w:p w14:paraId="23F49DDC" w14:textId="17815851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1.</w:t>
            </w:r>
            <w:r w:rsidR="00615A8B" w:rsidRPr="002B766A">
              <w:rPr>
                <w:rFonts w:cstheme="minorHAnsi"/>
                <w:sz w:val="24"/>
                <w:szCs w:val="24"/>
              </w:rPr>
              <w:t>75</w:t>
            </w:r>
            <w:r w:rsidRPr="002B766A">
              <w:rPr>
                <w:rFonts w:cstheme="minorHAnsi"/>
                <w:sz w:val="24"/>
                <w:szCs w:val="24"/>
              </w:rPr>
              <w:t xml:space="preserve"> (0.50 – </w:t>
            </w:r>
            <w:r w:rsidR="00615A8B" w:rsidRPr="002B766A">
              <w:rPr>
                <w:rFonts w:cstheme="minorHAnsi"/>
                <w:sz w:val="24"/>
                <w:szCs w:val="24"/>
              </w:rPr>
              <w:t>3.50</w:t>
            </w:r>
            <w:r w:rsidRPr="002B766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30" w:type="dxa"/>
            <w:vAlign w:val="bottom"/>
          </w:tcPr>
          <w:p w14:paraId="7A58D716" w14:textId="77777777" w:rsidR="005D0282" w:rsidRPr="002B766A" w:rsidRDefault="005D0282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14:paraId="3F51BABF" w14:textId="77777777" w:rsidR="005049A1" w:rsidRPr="002B766A" w:rsidRDefault="005049A1" w:rsidP="002B766A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3D75FC8A" w14:textId="76526E6D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i/>
          <w:sz w:val="24"/>
          <w:szCs w:val="24"/>
        </w:rPr>
        <w:t>Conclusioni sulla bioequivalenza</w:t>
      </w:r>
      <w:r w:rsidRPr="002B766A">
        <w:rPr>
          <w:rFonts w:cstheme="minorHAnsi"/>
          <w:sz w:val="24"/>
          <w:szCs w:val="24"/>
        </w:rPr>
        <w:t>.</w:t>
      </w:r>
    </w:p>
    <w:p w14:paraId="72661B16" w14:textId="04B7606A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 risultati </w:t>
      </w:r>
      <w:r w:rsidR="00BA5960" w:rsidRPr="002B766A">
        <w:rPr>
          <w:rFonts w:cstheme="minorHAnsi"/>
          <w:sz w:val="24"/>
          <w:szCs w:val="24"/>
        </w:rPr>
        <w:t>dello</w:t>
      </w:r>
      <w:r w:rsidRPr="002B766A">
        <w:rPr>
          <w:rFonts w:cstheme="minorHAnsi"/>
          <w:sz w:val="24"/>
          <w:szCs w:val="24"/>
        </w:rPr>
        <w:t xml:space="preserve"> studi</w:t>
      </w:r>
      <w:r w:rsidR="00BA5960" w:rsidRPr="002B766A">
        <w:rPr>
          <w:rFonts w:cstheme="minorHAnsi"/>
          <w:sz w:val="24"/>
          <w:szCs w:val="24"/>
        </w:rPr>
        <w:t>o</w:t>
      </w:r>
      <w:r w:rsidRPr="002B766A">
        <w:rPr>
          <w:rFonts w:cstheme="minorHAnsi"/>
          <w:sz w:val="24"/>
          <w:szCs w:val="24"/>
        </w:rPr>
        <w:t xml:space="preserve"> di bioequivalenza mostrano che gli intervalli di confidenza </w:t>
      </w:r>
      <w:r w:rsidR="00BA5960" w:rsidRPr="002B766A">
        <w:rPr>
          <w:rFonts w:cstheme="minorHAnsi"/>
          <w:sz w:val="24"/>
          <w:szCs w:val="24"/>
        </w:rPr>
        <w:t>di</w:t>
      </w:r>
      <w:r w:rsidRPr="002B766A">
        <w:rPr>
          <w:rFonts w:cstheme="minorHAnsi"/>
          <w:sz w:val="24"/>
          <w:szCs w:val="24"/>
        </w:rPr>
        <w:t xml:space="preserve"> </w:t>
      </w:r>
      <w:r w:rsidR="00BA5960" w:rsidRPr="002B766A">
        <w:rPr>
          <w:rFonts w:cstheme="minorHAnsi"/>
          <w:sz w:val="24"/>
          <w:szCs w:val="24"/>
        </w:rPr>
        <w:t>AUC</w:t>
      </w:r>
      <w:r w:rsidR="00BA5960" w:rsidRPr="002B766A">
        <w:rPr>
          <w:rFonts w:cstheme="minorHAnsi"/>
          <w:sz w:val="24"/>
          <w:szCs w:val="24"/>
          <w:vertAlign w:val="subscript"/>
        </w:rPr>
        <w:t xml:space="preserve">0-t </w:t>
      </w:r>
      <w:r w:rsidR="00BA5960" w:rsidRPr="002B766A">
        <w:rPr>
          <w:rFonts w:cstheme="minorHAnsi"/>
          <w:sz w:val="24"/>
          <w:szCs w:val="24"/>
        </w:rPr>
        <w:t>e C</w:t>
      </w:r>
      <w:r w:rsidR="00BA5960" w:rsidRPr="002B766A">
        <w:rPr>
          <w:rFonts w:cstheme="minorHAnsi"/>
          <w:sz w:val="24"/>
          <w:szCs w:val="24"/>
          <w:vertAlign w:val="subscript"/>
        </w:rPr>
        <w:t>max</w:t>
      </w:r>
      <w:r w:rsidR="00BA5960"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cstheme="minorHAnsi"/>
          <w:sz w:val="24"/>
          <w:szCs w:val="24"/>
        </w:rPr>
        <w:t>cadono nel range di accettabilità</w:t>
      </w:r>
      <w:r w:rsidR="00BA5960" w:rsidRPr="002B766A">
        <w:rPr>
          <w:rFonts w:cstheme="minorHAnsi"/>
          <w:sz w:val="24"/>
          <w:szCs w:val="24"/>
        </w:rPr>
        <w:t xml:space="preserve"> (80% - 125 %)</w:t>
      </w:r>
      <w:r w:rsidRPr="002B766A">
        <w:rPr>
          <w:rFonts w:cstheme="minorHAnsi"/>
          <w:sz w:val="24"/>
          <w:szCs w:val="24"/>
        </w:rPr>
        <w:t xml:space="preserve">, </w:t>
      </w:r>
      <w:r w:rsidR="00BA5960" w:rsidRPr="002B766A">
        <w:rPr>
          <w:rFonts w:cstheme="minorHAnsi"/>
          <w:sz w:val="24"/>
          <w:szCs w:val="24"/>
        </w:rPr>
        <w:t xml:space="preserve">ed i valori di </w:t>
      </w:r>
      <w:proofErr w:type="spellStart"/>
      <w:r w:rsidR="00BA5960" w:rsidRPr="002B766A">
        <w:rPr>
          <w:rFonts w:cstheme="minorHAnsi"/>
          <w:sz w:val="24"/>
          <w:szCs w:val="24"/>
        </w:rPr>
        <w:t>T</w:t>
      </w:r>
      <w:r w:rsidR="00BA5960" w:rsidRPr="002B766A">
        <w:rPr>
          <w:rFonts w:cstheme="minorHAnsi"/>
          <w:sz w:val="24"/>
          <w:szCs w:val="24"/>
          <w:vertAlign w:val="subscript"/>
        </w:rPr>
        <w:t>max</w:t>
      </w:r>
      <w:proofErr w:type="spellEnd"/>
      <w:r w:rsidR="00BA5960" w:rsidRPr="002B766A">
        <w:rPr>
          <w:rFonts w:cstheme="minorHAnsi"/>
          <w:sz w:val="24"/>
          <w:szCs w:val="24"/>
        </w:rPr>
        <w:t xml:space="preserve"> (mediana e range) tra test e </w:t>
      </w:r>
      <w:proofErr w:type="spellStart"/>
      <w:r w:rsidR="00BA5960" w:rsidRPr="002B766A">
        <w:rPr>
          <w:rFonts w:cstheme="minorHAnsi"/>
          <w:sz w:val="24"/>
          <w:szCs w:val="24"/>
        </w:rPr>
        <w:t>reference</w:t>
      </w:r>
      <w:proofErr w:type="spellEnd"/>
      <w:r w:rsidR="00BA5960" w:rsidRPr="002B766A">
        <w:rPr>
          <w:rFonts w:cstheme="minorHAnsi"/>
          <w:sz w:val="24"/>
          <w:szCs w:val="24"/>
        </w:rPr>
        <w:t xml:space="preserve"> sono comparabili, </w:t>
      </w:r>
      <w:r w:rsidRPr="002B766A">
        <w:rPr>
          <w:rFonts w:cstheme="minorHAnsi"/>
          <w:sz w:val="24"/>
          <w:szCs w:val="24"/>
        </w:rPr>
        <w:t xml:space="preserve">in accordo con le linee guida </w:t>
      </w:r>
      <w:r w:rsidR="00615A8B" w:rsidRPr="002B766A">
        <w:rPr>
          <w:rFonts w:cstheme="minorHAnsi"/>
          <w:sz w:val="24"/>
          <w:szCs w:val="24"/>
        </w:rPr>
        <w:t>in materia</w:t>
      </w:r>
      <w:r w:rsidRPr="002B766A">
        <w:rPr>
          <w:rFonts w:cstheme="minorHAnsi"/>
          <w:sz w:val="24"/>
          <w:szCs w:val="24"/>
        </w:rPr>
        <w:t>.</w:t>
      </w:r>
    </w:p>
    <w:p w14:paraId="09FA64E7" w14:textId="65FDB3B4" w:rsidR="00890FCA" w:rsidRPr="002B766A" w:rsidRDefault="00890FC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FAFB4A" w14:textId="77777777" w:rsidR="00890FCA" w:rsidRPr="002B766A" w:rsidRDefault="00890FCA" w:rsidP="002B766A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2B766A">
        <w:rPr>
          <w:rFonts w:cstheme="minorHAnsi"/>
          <w:sz w:val="24"/>
          <w:szCs w:val="24"/>
        </w:rPr>
        <w:t xml:space="preserve">I risultati dello studio di bioequivalenza, condotto con il dosaggio da 600 mg, possono essere utilizzati per estrapolare quelli del dosaggio da 400 mg, </w:t>
      </w:r>
      <w:r w:rsidRPr="002B766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concessione del waiver di cui al paragrafo 4.1.6 della linea guida </w:t>
      </w:r>
      <w:r w:rsidRPr="002B766A">
        <w:rPr>
          <w:rFonts w:cstheme="minorHAnsi"/>
          <w:sz w:val="24"/>
          <w:szCs w:val="24"/>
        </w:rPr>
        <w:t xml:space="preserve">Guideline on the Investigation of </w:t>
      </w:r>
      <w:proofErr w:type="spellStart"/>
      <w:r w:rsidRPr="002B766A">
        <w:rPr>
          <w:rFonts w:cstheme="minorHAnsi"/>
          <w:sz w:val="24"/>
          <w:szCs w:val="24"/>
        </w:rPr>
        <w:t>Bioequivalence</w:t>
      </w:r>
      <w:proofErr w:type="spellEnd"/>
      <w:r w:rsidRPr="002B766A">
        <w:rPr>
          <w:rFonts w:cstheme="minorHAnsi"/>
          <w:sz w:val="24"/>
          <w:szCs w:val="24"/>
        </w:rPr>
        <w:t xml:space="preserve"> </w:t>
      </w:r>
      <w:r w:rsidRPr="002B766A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Pr="002B766A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Pr="002B766A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</w:p>
    <w:p w14:paraId="522A1CD8" w14:textId="77777777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A15C11" w14:textId="77777777" w:rsidR="005049A1" w:rsidRPr="002B766A" w:rsidRDefault="005049A1" w:rsidP="002B766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Efficacia e sicurezza clinica</w:t>
      </w:r>
    </w:p>
    <w:p w14:paraId="2D55CA99" w14:textId="02280378" w:rsidR="005049A1" w:rsidRPr="002B766A" w:rsidRDefault="005049A1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Non sono stati presentati nuovi dati di efficacia e sicurezza clinica: il profilo di sicurezza e l’efficacia del principio attivo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è ben conosciuto. </w:t>
      </w:r>
    </w:p>
    <w:p w14:paraId="4F4A21ED" w14:textId="77777777" w:rsidR="006727BD" w:rsidRPr="002B766A" w:rsidRDefault="006727BD" w:rsidP="002B766A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06E57B59" w14:textId="77777777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Piano di Valutazione del Rischio (</w:t>
      </w:r>
      <w:r w:rsidRPr="002B766A">
        <w:rPr>
          <w:rFonts w:cstheme="minorHAnsi"/>
          <w:b/>
          <w:i/>
          <w:sz w:val="24"/>
          <w:szCs w:val="24"/>
        </w:rPr>
        <w:t>Risk Management Plan</w:t>
      </w:r>
      <w:r w:rsidRPr="002B766A">
        <w:rPr>
          <w:rFonts w:cstheme="minorHAnsi"/>
          <w:b/>
          <w:sz w:val="24"/>
          <w:szCs w:val="24"/>
        </w:rPr>
        <w:t xml:space="preserve"> - RMP)</w:t>
      </w:r>
    </w:p>
    <w:p w14:paraId="2CB9C459" w14:textId="5419BE80" w:rsidR="004E5A39" w:rsidRPr="002B766A" w:rsidRDefault="00182526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È </w:t>
      </w:r>
      <w:r w:rsidR="004E5A39" w:rsidRPr="002B766A">
        <w:rPr>
          <w:rFonts w:cstheme="minorHAnsi"/>
          <w:sz w:val="24"/>
          <w:szCs w:val="24"/>
        </w:rPr>
        <w:t xml:space="preserve">stato presentato un RMP in accordo a quanto previsto dalla Direttiva 2001/83/EU </w:t>
      </w:r>
      <w:proofErr w:type="spellStart"/>
      <w:r w:rsidR="004E5A39" w:rsidRPr="002B766A">
        <w:rPr>
          <w:rFonts w:cstheme="minorHAnsi"/>
          <w:sz w:val="24"/>
          <w:szCs w:val="24"/>
        </w:rPr>
        <w:t>s.m.i.</w:t>
      </w:r>
      <w:proofErr w:type="spellEnd"/>
      <w:r w:rsidR="004E5A39" w:rsidRPr="002B766A">
        <w:rPr>
          <w:rFonts w:cstheme="minorHAnsi"/>
          <w:sz w:val="24"/>
          <w:szCs w:val="24"/>
        </w:rPr>
        <w:t xml:space="preserve"> che descrive le attività di farmacovigilanza e gli interventi definiti al fine di identificare, caratterizzare, prevenire o minimizzare i rischi collegati all’uso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4E5A39" w:rsidRPr="002B766A">
        <w:rPr>
          <w:rFonts w:cstheme="minorHAnsi"/>
          <w:sz w:val="24"/>
          <w:szCs w:val="24"/>
        </w:rPr>
        <w:t>.</w:t>
      </w:r>
    </w:p>
    <w:p w14:paraId="6DAE5AF4" w14:textId="77777777" w:rsidR="006F0895" w:rsidRPr="002B766A" w:rsidRDefault="006F0895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Il riassunto delle problematiche di sicurezza è riportato nella tabella seguente.</w:t>
      </w:r>
    </w:p>
    <w:p w14:paraId="54E42D90" w14:textId="77777777" w:rsidR="006F0895" w:rsidRPr="002B766A" w:rsidRDefault="006F0895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6F0895" w:rsidRPr="002B766A" w14:paraId="5080BA20" w14:textId="77777777" w:rsidTr="00FC21F3">
        <w:trPr>
          <w:jc w:val="center"/>
        </w:trPr>
        <w:tc>
          <w:tcPr>
            <w:tcW w:w="1560" w:type="pct"/>
            <w:shd w:val="clear" w:color="auto" w:fill="auto"/>
          </w:tcPr>
          <w:p w14:paraId="50B4CEF2" w14:textId="77777777" w:rsidR="006F0895" w:rsidRPr="002B766A" w:rsidRDefault="006F0895" w:rsidP="002B766A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4373E764" w14:textId="75AF785A" w:rsidR="006F0895" w:rsidRPr="002B766A" w:rsidRDefault="00F863F1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6F0895" w:rsidRPr="002B766A" w14:paraId="04062675" w14:textId="77777777" w:rsidTr="00FC21F3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12C72" w14:textId="77777777" w:rsidR="006F0895" w:rsidRPr="002B766A" w:rsidRDefault="006F0895" w:rsidP="002B766A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1C314EB" w14:textId="3815A702" w:rsidR="006F0895" w:rsidRPr="002B766A" w:rsidRDefault="00F863F1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GB"/>
              </w:rPr>
            </w:pPr>
            <w:r w:rsidRPr="002B766A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6F0895" w:rsidRPr="002B766A" w14:paraId="165D9735" w14:textId="77777777" w:rsidTr="00FC21F3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FE1AFC" w14:textId="77777777" w:rsidR="006F0895" w:rsidRPr="002B766A" w:rsidRDefault="006F0895" w:rsidP="002B766A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B766A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3681" w14:textId="31B4C8F3" w:rsidR="006F0895" w:rsidRPr="002B766A" w:rsidRDefault="00F863F1" w:rsidP="002B76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B766A">
              <w:rPr>
                <w:rFonts w:cstheme="minorHAnsi"/>
                <w:sz w:val="24"/>
                <w:szCs w:val="24"/>
              </w:rPr>
              <w:t>Nessuno</w:t>
            </w:r>
          </w:p>
        </w:tc>
      </w:tr>
    </w:tbl>
    <w:p w14:paraId="1F7E8368" w14:textId="77777777" w:rsidR="00C87D51" w:rsidRPr="002B766A" w:rsidRDefault="00C87D51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383DFC5" w14:textId="77777777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52C667E" w14:textId="77777777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lastRenderedPageBreak/>
        <w:t>Oltre le misure previste nel Riassunto delle caratteristiche del prodotto non sono</w:t>
      </w:r>
      <w:r w:rsidR="00840370" w:rsidRPr="002B766A">
        <w:rPr>
          <w:rFonts w:cstheme="minorHAnsi"/>
          <w:sz w:val="24"/>
          <w:szCs w:val="24"/>
        </w:rPr>
        <w:t xml:space="preserve"> (o sono)</w:t>
      </w:r>
      <w:r w:rsidRPr="002B766A">
        <w:rPr>
          <w:rFonts w:cstheme="minorHAnsi"/>
          <w:sz w:val="24"/>
          <w:szCs w:val="24"/>
        </w:rPr>
        <w:t xml:space="preserve"> previste attività addizionali di minimizzazione del rischio</w:t>
      </w:r>
    </w:p>
    <w:p w14:paraId="5530B128" w14:textId="77777777" w:rsidR="002B766A" w:rsidRDefault="002B766A" w:rsidP="002B766A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17E8B3A3" w14:textId="0502BD9C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Conclusioni</w:t>
      </w:r>
    </w:p>
    <w:p w14:paraId="554045BC" w14:textId="7AAE1F46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Per la richiesta di AIC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>sono state presentate sufficienti informazioni cliniche.</w:t>
      </w:r>
    </w:p>
    <w:p w14:paraId="1DC02F1E" w14:textId="04F2AB0E" w:rsidR="004E5A39" w:rsidRPr="002B766A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Il rapporto beneficio/rischio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>è considerato favorevole dal punto di vista clinico.</w:t>
      </w:r>
    </w:p>
    <w:p w14:paraId="4CDCEB5E" w14:textId="32867CE7" w:rsidR="004E5A39" w:rsidRDefault="004E5A39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C7269AE" w14:textId="77777777" w:rsidR="002B766A" w:rsidRPr="002B766A" w:rsidRDefault="002B766A" w:rsidP="002B766A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23E483E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CONSULTAZIONE SUL FOGLIO ILLUSTRATIVO</w:t>
      </w:r>
    </w:p>
    <w:p w14:paraId="57B2B964" w14:textId="77777777" w:rsidR="00CD312D" w:rsidRPr="002B766A" w:rsidRDefault="00CD312D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13205D" w14:textId="7980A7CF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2B766A">
        <w:rPr>
          <w:rFonts w:cstheme="minorHAnsi"/>
          <w:sz w:val="24"/>
          <w:szCs w:val="24"/>
        </w:rPr>
        <w:t>s.m.i.</w:t>
      </w:r>
      <w:proofErr w:type="spellEnd"/>
      <w:r w:rsidRPr="002B766A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CCD3C4A" w14:textId="4809412B" w:rsidR="004E5A39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15EF35" w14:textId="77777777" w:rsidR="002B766A" w:rsidRP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8EDF0B" w14:textId="77777777" w:rsidR="004E5A39" w:rsidRPr="002B766A" w:rsidRDefault="004E5A39" w:rsidP="002B766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B766A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038038F3" w14:textId="77777777" w:rsidR="00BA5960" w:rsidRPr="002B766A" w:rsidRDefault="00BA5960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0F5BB9" w14:textId="6C98FDD7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La qualità di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6C18F5F7" w14:textId="77777777" w:rsidR="00B6271D" w:rsidRPr="002B766A" w:rsidRDefault="00B6271D" w:rsidP="002B766A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61B059F8" w14:textId="444F256E" w:rsidR="00BE7CDB" w:rsidRPr="002B766A" w:rsidRDefault="00BE7CDB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Lo studio di bioequivalenza e le sue conclusioni confermano che </w:t>
      </w:r>
      <w:r w:rsidR="00EC116F" w:rsidRPr="002B766A">
        <w:rPr>
          <w:rFonts w:eastAsia="Calibri" w:cstheme="minorHAnsi"/>
          <w:color w:val="000000"/>
          <w:sz w:val="24"/>
          <w:szCs w:val="24"/>
          <w:lang w:eastAsia="it-IT"/>
        </w:rPr>
        <w:t>DOLZAN</w:t>
      </w:r>
      <w:r w:rsidR="002B5AC2" w:rsidRPr="002B766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B766A">
        <w:rPr>
          <w:rFonts w:cstheme="minorHAnsi"/>
          <w:sz w:val="24"/>
          <w:szCs w:val="24"/>
        </w:rPr>
        <w:t xml:space="preserve">e il medicinale di riferimento </w:t>
      </w:r>
      <w:r w:rsidR="00B6271D" w:rsidRPr="002B766A">
        <w:rPr>
          <w:rFonts w:cstheme="minorHAnsi"/>
          <w:sz w:val="24"/>
          <w:szCs w:val="24"/>
        </w:rPr>
        <w:t xml:space="preserve">BRUFEN </w:t>
      </w:r>
      <w:r w:rsidRPr="002B766A">
        <w:rPr>
          <w:rFonts w:cstheme="minorHAnsi"/>
          <w:sz w:val="24"/>
          <w:szCs w:val="24"/>
        </w:rPr>
        <w:t xml:space="preserve">sono </w:t>
      </w:r>
      <w:proofErr w:type="spellStart"/>
      <w:r w:rsidRPr="002B766A">
        <w:rPr>
          <w:rFonts w:cstheme="minorHAnsi"/>
          <w:sz w:val="24"/>
          <w:szCs w:val="24"/>
        </w:rPr>
        <w:t>bioequivalenti</w:t>
      </w:r>
      <w:proofErr w:type="spellEnd"/>
      <w:r w:rsidRPr="002B766A">
        <w:rPr>
          <w:rFonts w:cstheme="minorHAnsi"/>
          <w:sz w:val="24"/>
          <w:szCs w:val="24"/>
        </w:rPr>
        <w:t>.</w:t>
      </w:r>
    </w:p>
    <w:p w14:paraId="2DA84940" w14:textId="77777777" w:rsidR="002B766A" w:rsidRPr="002B766A" w:rsidRDefault="002B766A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786FF0" w14:textId="02BB5250" w:rsidR="004E5A39" w:rsidRPr="002B766A" w:rsidRDefault="004E5A39" w:rsidP="002B76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766A">
        <w:rPr>
          <w:rFonts w:cstheme="minorHAnsi"/>
          <w:sz w:val="24"/>
          <w:szCs w:val="24"/>
        </w:rPr>
        <w:t xml:space="preserve">Il rapporto beneficio/rischio è considerato </w:t>
      </w:r>
      <w:r w:rsidR="00890FCA" w:rsidRPr="002B766A">
        <w:rPr>
          <w:rFonts w:cstheme="minorHAnsi"/>
          <w:sz w:val="24"/>
          <w:szCs w:val="24"/>
        </w:rPr>
        <w:t>favorevole per l’autorizzazione all’immissione in commercio</w:t>
      </w:r>
      <w:r w:rsidRPr="002B766A">
        <w:rPr>
          <w:rFonts w:cstheme="minorHAnsi"/>
          <w:sz w:val="24"/>
          <w:szCs w:val="24"/>
        </w:rPr>
        <w:t>.</w:t>
      </w:r>
    </w:p>
    <w:p w14:paraId="386B12CB" w14:textId="2D4244A5" w:rsidR="00CE62A1" w:rsidRPr="002B766A" w:rsidRDefault="004E5A39" w:rsidP="002B766A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B766A">
        <w:rPr>
          <w:rFonts w:cstheme="minorHAnsi"/>
          <w:sz w:val="24"/>
          <w:szCs w:val="24"/>
        </w:rPr>
        <w:t>Il riassunto delle caratteristiche del prodotto, il foglio illustrativo e le etichette sono in linea con le correnti linee guida</w:t>
      </w:r>
      <w:r w:rsidR="00890FCA" w:rsidRPr="002B766A">
        <w:rPr>
          <w:rFonts w:cstheme="minorHAnsi"/>
          <w:sz w:val="24"/>
          <w:szCs w:val="24"/>
        </w:rPr>
        <w:t xml:space="preserve"> italiane ed europee.</w:t>
      </w:r>
      <w:r w:rsidRPr="002B766A">
        <w:rPr>
          <w:rFonts w:cstheme="minorHAnsi"/>
          <w:sz w:val="24"/>
          <w:szCs w:val="24"/>
        </w:rPr>
        <w:t xml:space="preserve"> Questi documenti possono essere consultati sul sito istituzionale di AIFA </w:t>
      </w:r>
      <w:r w:rsidRPr="002B766A">
        <w:rPr>
          <w:rFonts w:eastAsia="Calibri" w:cstheme="minorHAnsi"/>
          <w:sz w:val="24"/>
          <w:szCs w:val="24"/>
          <w:lang w:eastAsia="it-IT"/>
        </w:rPr>
        <w:t>(</w:t>
      </w:r>
      <w:hyperlink r:id="rId14" w:anchor="/it/" w:history="1">
        <w:r w:rsidR="002B766A" w:rsidRPr="002B766A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Pr="002B766A">
        <w:rPr>
          <w:rFonts w:eastAsia="Calibri" w:cstheme="minorHAnsi"/>
          <w:sz w:val="24"/>
          <w:szCs w:val="24"/>
          <w:lang w:eastAsia="it-IT"/>
        </w:rPr>
        <w:t>).</w:t>
      </w:r>
    </w:p>
    <w:p w14:paraId="7EBCCFF5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922584">
      <w:pgSz w:w="11906" w:h="16838"/>
      <w:pgMar w:top="1418" w:right="1021" w:bottom="1021" w:left="1021" w:header="709" w:footer="83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B4F9F" w16cex:dateUtc="2023-11-24T15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AC4FE" w14:textId="77777777" w:rsidR="00AA5B40" w:rsidRDefault="00AA5B40" w:rsidP="00922584">
      <w:pPr>
        <w:spacing w:after="0" w:line="240" w:lineRule="auto"/>
      </w:pPr>
      <w:r>
        <w:separator/>
      </w:r>
    </w:p>
  </w:endnote>
  <w:endnote w:type="continuationSeparator" w:id="0">
    <w:p w14:paraId="52B9F10E" w14:textId="77777777" w:rsidR="00AA5B40" w:rsidRDefault="00AA5B40" w:rsidP="0092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DFA51" w14:textId="77777777" w:rsidR="00AA5B40" w:rsidRDefault="00AA5B40" w:rsidP="00922584">
      <w:pPr>
        <w:spacing w:after="0" w:line="240" w:lineRule="auto"/>
      </w:pPr>
      <w:r>
        <w:separator/>
      </w:r>
    </w:p>
  </w:footnote>
  <w:footnote w:type="continuationSeparator" w:id="0">
    <w:p w14:paraId="36A4EBFE" w14:textId="77777777" w:rsidR="00AA5B40" w:rsidRDefault="00AA5B40" w:rsidP="00922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F13"/>
    <w:multiLevelType w:val="multilevel"/>
    <w:tmpl w:val="4930405C"/>
    <w:lvl w:ilvl="0">
      <w:start w:val="1"/>
      <w:numFmt w:val="decimal"/>
      <w:lvlText w:val="%1."/>
      <w:lvlJc w:val="left"/>
      <w:pPr>
        <w:ind w:left="11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43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968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51E74CE"/>
    <w:multiLevelType w:val="hybridMultilevel"/>
    <w:tmpl w:val="B786043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71A36"/>
    <w:multiLevelType w:val="hybridMultilevel"/>
    <w:tmpl w:val="9EDE382C"/>
    <w:lvl w:ilvl="0" w:tplc="52284A1C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6CD236B6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3F2951A">
      <w:numFmt w:val="bullet"/>
      <w:lvlText w:val="•"/>
      <w:lvlJc w:val="left"/>
      <w:pPr>
        <w:ind w:left="1842" w:hanging="361"/>
      </w:pPr>
      <w:rPr>
        <w:lang w:val="it-IT" w:eastAsia="en-US" w:bidi="ar-SA"/>
      </w:rPr>
    </w:lvl>
    <w:lvl w:ilvl="3" w:tplc="8C54165C">
      <w:numFmt w:val="bullet"/>
      <w:lvlText w:val="•"/>
      <w:lvlJc w:val="left"/>
      <w:pPr>
        <w:ind w:left="2845" w:hanging="361"/>
      </w:pPr>
      <w:rPr>
        <w:lang w:val="it-IT" w:eastAsia="en-US" w:bidi="ar-SA"/>
      </w:rPr>
    </w:lvl>
    <w:lvl w:ilvl="4" w:tplc="1C963194">
      <w:numFmt w:val="bullet"/>
      <w:lvlText w:val="•"/>
      <w:lvlJc w:val="left"/>
      <w:pPr>
        <w:ind w:left="3848" w:hanging="361"/>
      </w:pPr>
      <w:rPr>
        <w:lang w:val="it-IT" w:eastAsia="en-US" w:bidi="ar-SA"/>
      </w:rPr>
    </w:lvl>
    <w:lvl w:ilvl="5" w:tplc="7F021736">
      <w:numFmt w:val="bullet"/>
      <w:lvlText w:val="•"/>
      <w:lvlJc w:val="left"/>
      <w:pPr>
        <w:ind w:left="4851" w:hanging="361"/>
      </w:pPr>
      <w:rPr>
        <w:lang w:val="it-IT" w:eastAsia="en-US" w:bidi="ar-SA"/>
      </w:rPr>
    </w:lvl>
    <w:lvl w:ilvl="6" w:tplc="BE5A2C56">
      <w:numFmt w:val="bullet"/>
      <w:lvlText w:val="•"/>
      <w:lvlJc w:val="left"/>
      <w:pPr>
        <w:ind w:left="5854" w:hanging="361"/>
      </w:pPr>
      <w:rPr>
        <w:lang w:val="it-IT" w:eastAsia="en-US" w:bidi="ar-SA"/>
      </w:rPr>
    </w:lvl>
    <w:lvl w:ilvl="7" w:tplc="6A5224EA">
      <w:numFmt w:val="bullet"/>
      <w:lvlText w:val="•"/>
      <w:lvlJc w:val="left"/>
      <w:pPr>
        <w:ind w:left="6857" w:hanging="361"/>
      </w:pPr>
      <w:rPr>
        <w:lang w:val="it-IT" w:eastAsia="en-US" w:bidi="ar-SA"/>
      </w:rPr>
    </w:lvl>
    <w:lvl w:ilvl="8" w:tplc="720A5634">
      <w:numFmt w:val="bullet"/>
      <w:lvlText w:val="•"/>
      <w:lvlJc w:val="left"/>
      <w:pPr>
        <w:ind w:left="7860" w:hanging="361"/>
      </w:pPr>
      <w:rPr>
        <w:lang w:val="it-IT" w:eastAsia="en-US" w:bidi="ar-SA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AC"/>
    <w:rsid w:val="00013020"/>
    <w:rsid w:val="00014743"/>
    <w:rsid w:val="00022511"/>
    <w:rsid w:val="00023CEA"/>
    <w:rsid w:val="00051880"/>
    <w:rsid w:val="0005439C"/>
    <w:rsid w:val="00061904"/>
    <w:rsid w:val="00062636"/>
    <w:rsid w:val="00063D02"/>
    <w:rsid w:val="000808A3"/>
    <w:rsid w:val="000A0D6B"/>
    <w:rsid w:val="000A3789"/>
    <w:rsid w:val="000A4BA1"/>
    <w:rsid w:val="000B251B"/>
    <w:rsid w:val="000B7AC8"/>
    <w:rsid w:val="000D300D"/>
    <w:rsid w:val="000E1F86"/>
    <w:rsid w:val="000E4494"/>
    <w:rsid w:val="000F658F"/>
    <w:rsid w:val="000F7B7D"/>
    <w:rsid w:val="00111E9E"/>
    <w:rsid w:val="001219D2"/>
    <w:rsid w:val="001460CA"/>
    <w:rsid w:val="00182526"/>
    <w:rsid w:val="00182B11"/>
    <w:rsid w:val="001B2E23"/>
    <w:rsid w:val="001C15DF"/>
    <w:rsid w:val="00210C2D"/>
    <w:rsid w:val="00246A01"/>
    <w:rsid w:val="00246D60"/>
    <w:rsid w:val="00262EA2"/>
    <w:rsid w:val="00265B61"/>
    <w:rsid w:val="00277A0E"/>
    <w:rsid w:val="002B5AC2"/>
    <w:rsid w:val="002B766A"/>
    <w:rsid w:val="002C5C2A"/>
    <w:rsid w:val="002F10A8"/>
    <w:rsid w:val="002F2543"/>
    <w:rsid w:val="002F4000"/>
    <w:rsid w:val="00300BEA"/>
    <w:rsid w:val="003061E0"/>
    <w:rsid w:val="00321954"/>
    <w:rsid w:val="003426AD"/>
    <w:rsid w:val="00353066"/>
    <w:rsid w:val="00363C39"/>
    <w:rsid w:val="00367CE0"/>
    <w:rsid w:val="00381919"/>
    <w:rsid w:val="00396280"/>
    <w:rsid w:val="003B140A"/>
    <w:rsid w:val="003C63BF"/>
    <w:rsid w:val="003C74F9"/>
    <w:rsid w:val="003E55BC"/>
    <w:rsid w:val="003F6849"/>
    <w:rsid w:val="0042214D"/>
    <w:rsid w:val="00423A97"/>
    <w:rsid w:val="004241AC"/>
    <w:rsid w:val="00425C4E"/>
    <w:rsid w:val="0043350B"/>
    <w:rsid w:val="00433B48"/>
    <w:rsid w:val="004609F8"/>
    <w:rsid w:val="004B20A8"/>
    <w:rsid w:val="004B4368"/>
    <w:rsid w:val="004C1B76"/>
    <w:rsid w:val="004D42E2"/>
    <w:rsid w:val="004D6A55"/>
    <w:rsid w:val="004E5A39"/>
    <w:rsid w:val="004F3756"/>
    <w:rsid w:val="00500ACA"/>
    <w:rsid w:val="005049A1"/>
    <w:rsid w:val="00504FC1"/>
    <w:rsid w:val="0056372C"/>
    <w:rsid w:val="00564454"/>
    <w:rsid w:val="00567615"/>
    <w:rsid w:val="00571388"/>
    <w:rsid w:val="00586C8A"/>
    <w:rsid w:val="005950D6"/>
    <w:rsid w:val="005C3AA7"/>
    <w:rsid w:val="005C4D59"/>
    <w:rsid w:val="005C738D"/>
    <w:rsid w:val="005D0282"/>
    <w:rsid w:val="006044BC"/>
    <w:rsid w:val="00615A8B"/>
    <w:rsid w:val="00620C63"/>
    <w:rsid w:val="00621AE2"/>
    <w:rsid w:val="00642D6A"/>
    <w:rsid w:val="0064646C"/>
    <w:rsid w:val="006471FE"/>
    <w:rsid w:val="00652F0C"/>
    <w:rsid w:val="00654D9E"/>
    <w:rsid w:val="00664931"/>
    <w:rsid w:val="006727BD"/>
    <w:rsid w:val="00677838"/>
    <w:rsid w:val="00695307"/>
    <w:rsid w:val="0069681B"/>
    <w:rsid w:val="006B311C"/>
    <w:rsid w:val="006B3E12"/>
    <w:rsid w:val="006D3DEF"/>
    <w:rsid w:val="006D7B8C"/>
    <w:rsid w:val="006E1530"/>
    <w:rsid w:val="006F0895"/>
    <w:rsid w:val="006F2E49"/>
    <w:rsid w:val="00700AE9"/>
    <w:rsid w:val="00716DF5"/>
    <w:rsid w:val="007170D7"/>
    <w:rsid w:val="007214A8"/>
    <w:rsid w:val="007221B6"/>
    <w:rsid w:val="007266D8"/>
    <w:rsid w:val="00742CC0"/>
    <w:rsid w:val="00754E7B"/>
    <w:rsid w:val="00760565"/>
    <w:rsid w:val="0076141C"/>
    <w:rsid w:val="00766E26"/>
    <w:rsid w:val="00780D3D"/>
    <w:rsid w:val="00796E1E"/>
    <w:rsid w:val="00797416"/>
    <w:rsid w:val="007A3CE6"/>
    <w:rsid w:val="007C1DB7"/>
    <w:rsid w:val="007C5535"/>
    <w:rsid w:val="008172E2"/>
    <w:rsid w:val="00823F4C"/>
    <w:rsid w:val="00840370"/>
    <w:rsid w:val="008547B3"/>
    <w:rsid w:val="008576EF"/>
    <w:rsid w:val="0086678C"/>
    <w:rsid w:val="00867F55"/>
    <w:rsid w:val="008819D4"/>
    <w:rsid w:val="0088216F"/>
    <w:rsid w:val="00890FCA"/>
    <w:rsid w:val="0089141E"/>
    <w:rsid w:val="008A6FEC"/>
    <w:rsid w:val="008B60D7"/>
    <w:rsid w:val="008B772A"/>
    <w:rsid w:val="008B7BA3"/>
    <w:rsid w:val="008C3D30"/>
    <w:rsid w:val="008D1529"/>
    <w:rsid w:val="008D5C67"/>
    <w:rsid w:val="008E62CF"/>
    <w:rsid w:val="009207F5"/>
    <w:rsid w:val="00922584"/>
    <w:rsid w:val="00943785"/>
    <w:rsid w:val="00957832"/>
    <w:rsid w:val="00985066"/>
    <w:rsid w:val="009A23DE"/>
    <w:rsid w:val="009A260F"/>
    <w:rsid w:val="009B03DB"/>
    <w:rsid w:val="009D3446"/>
    <w:rsid w:val="009E0140"/>
    <w:rsid w:val="009E2BC0"/>
    <w:rsid w:val="009F3867"/>
    <w:rsid w:val="00A01AB1"/>
    <w:rsid w:val="00A03D3C"/>
    <w:rsid w:val="00A17BFA"/>
    <w:rsid w:val="00A40FF3"/>
    <w:rsid w:val="00A47CC5"/>
    <w:rsid w:val="00A548CD"/>
    <w:rsid w:val="00A62D55"/>
    <w:rsid w:val="00A62DE6"/>
    <w:rsid w:val="00A64859"/>
    <w:rsid w:val="00A908B9"/>
    <w:rsid w:val="00A966D1"/>
    <w:rsid w:val="00AA5B40"/>
    <w:rsid w:val="00AB6B04"/>
    <w:rsid w:val="00B023E9"/>
    <w:rsid w:val="00B1186F"/>
    <w:rsid w:val="00B30431"/>
    <w:rsid w:val="00B3446D"/>
    <w:rsid w:val="00B43FAF"/>
    <w:rsid w:val="00B6271D"/>
    <w:rsid w:val="00B70415"/>
    <w:rsid w:val="00B76780"/>
    <w:rsid w:val="00BA0ACD"/>
    <w:rsid w:val="00BA5960"/>
    <w:rsid w:val="00BA7EE9"/>
    <w:rsid w:val="00BB180C"/>
    <w:rsid w:val="00BB2AF8"/>
    <w:rsid w:val="00BB7B54"/>
    <w:rsid w:val="00BC5636"/>
    <w:rsid w:val="00BC74C2"/>
    <w:rsid w:val="00BD59A7"/>
    <w:rsid w:val="00BE7CDB"/>
    <w:rsid w:val="00BF160D"/>
    <w:rsid w:val="00BF55B9"/>
    <w:rsid w:val="00BF7493"/>
    <w:rsid w:val="00BF7A42"/>
    <w:rsid w:val="00C25328"/>
    <w:rsid w:val="00C254D2"/>
    <w:rsid w:val="00C2565A"/>
    <w:rsid w:val="00C40151"/>
    <w:rsid w:val="00C42AAC"/>
    <w:rsid w:val="00C66597"/>
    <w:rsid w:val="00C66DE2"/>
    <w:rsid w:val="00C67782"/>
    <w:rsid w:val="00C82098"/>
    <w:rsid w:val="00C87D51"/>
    <w:rsid w:val="00CC52A3"/>
    <w:rsid w:val="00CC7AFF"/>
    <w:rsid w:val="00CD312D"/>
    <w:rsid w:val="00CE62A1"/>
    <w:rsid w:val="00CF5E46"/>
    <w:rsid w:val="00D01FE4"/>
    <w:rsid w:val="00D149A7"/>
    <w:rsid w:val="00D20170"/>
    <w:rsid w:val="00D212AA"/>
    <w:rsid w:val="00D23CFC"/>
    <w:rsid w:val="00D37B1A"/>
    <w:rsid w:val="00D41EBA"/>
    <w:rsid w:val="00D60600"/>
    <w:rsid w:val="00D721F3"/>
    <w:rsid w:val="00D95D0A"/>
    <w:rsid w:val="00DA1ACA"/>
    <w:rsid w:val="00DB359A"/>
    <w:rsid w:val="00DB7B9A"/>
    <w:rsid w:val="00DD7745"/>
    <w:rsid w:val="00E10D6C"/>
    <w:rsid w:val="00E13A8A"/>
    <w:rsid w:val="00E35DBB"/>
    <w:rsid w:val="00E43089"/>
    <w:rsid w:val="00E65C9C"/>
    <w:rsid w:val="00E827E5"/>
    <w:rsid w:val="00E83F8D"/>
    <w:rsid w:val="00EA3917"/>
    <w:rsid w:val="00EA7499"/>
    <w:rsid w:val="00EA7E7C"/>
    <w:rsid w:val="00EB59BD"/>
    <w:rsid w:val="00EC116F"/>
    <w:rsid w:val="00EC3589"/>
    <w:rsid w:val="00ED4FB1"/>
    <w:rsid w:val="00EE1613"/>
    <w:rsid w:val="00EE4732"/>
    <w:rsid w:val="00EE54C7"/>
    <w:rsid w:val="00EF062E"/>
    <w:rsid w:val="00EF6711"/>
    <w:rsid w:val="00EF7CB7"/>
    <w:rsid w:val="00F5638B"/>
    <w:rsid w:val="00F626BA"/>
    <w:rsid w:val="00F66767"/>
    <w:rsid w:val="00F76029"/>
    <w:rsid w:val="00F85989"/>
    <w:rsid w:val="00F863F1"/>
    <w:rsid w:val="00F96473"/>
    <w:rsid w:val="00FA2702"/>
    <w:rsid w:val="00FA4F13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3F603"/>
  <w15:docId w15:val="{FD93F821-2B3E-45C7-8663-78BEC524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76056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60565"/>
  </w:style>
  <w:style w:type="character" w:styleId="Rimandocommento">
    <w:name w:val="annotation reference"/>
    <w:basedOn w:val="Carpredefinitoparagrafo"/>
    <w:uiPriority w:val="99"/>
    <w:semiHidden/>
    <w:unhideWhenUsed/>
    <w:rsid w:val="00EE16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16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16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16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16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E161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922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2584"/>
  </w:style>
  <w:style w:type="paragraph" w:styleId="Pidipagina">
    <w:name w:val="footer"/>
    <w:basedOn w:val="Normale"/>
    <w:link w:val="PidipaginaCarattere"/>
    <w:uiPriority w:val="99"/>
    <w:unhideWhenUsed/>
    <w:rsid w:val="00922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2584"/>
  </w:style>
  <w:style w:type="character" w:styleId="Collegamentovisitato">
    <w:name w:val="FollowedHyperlink"/>
    <w:basedOn w:val="Carpredefinitoparagrafo"/>
    <w:uiPriority w:val="99"/>
    <w:semiHidden/>
    <w:unhideWhenUsed/>
    <w:rsid w:val="00425C4E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7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dicinali.aifa.gov.it/it/" TargetMode="Externa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dicinali.aifa.gov.it/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medicinali.aifa.gov.it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F3C08-2762-4189-A1E5-70E1405D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2921</Words>
  <Characters>16654</Characters>
  <Application>Microsoft Office Word</Application>
  <DocSecurity>0</DocSecurity>
  <Lines>138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Toteda Diana</cp:lastModifiedBy>
  <cp:revision>4</cp:revision>
  <dcterms:created xsi:type="dcterms:W3CDTF">2025-11-03T09:44:00Z</dcterms:created>
  <dcterms:modified xsi:type="dcterms:W3CDTF">2025-11-21T10:15:00Z</dcterms:modified>
</cp:coreProperties>
</file>